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31DD5" w14:textId="77777777" w:rsidR="00836E23" w:rsidRPr="007C3549" w:rsidRDefault="00836E23" w:rsidP="00BF393A">
      <w:pPr>
        <w:pStyle w:val="form-f"/>
        <w:tabs>
          <w:tab w:val="clear" w:pos="0"/>
        </w:tabs>
        <w:spacing w:line="240" w:lineRule="auto"/>
        <w:rPr>
          <w:sz w:val="24"/>
          <w:szCs w:val="24"/>
        </w:rPr>
      </w:pPr>
      <w:r w:rsidRPr="007C3549">
        <w:rPr>
          <w:sz w:val="24"/>
          <w:szCs w:val="24"/>
        </w:rPr>
        <w:t>Formule 64M</w:t>
      </w:r>
    </w:p>
    <w:p w14:paraId="0F3C7110" w14:textId="77777777" w:rsidR="00836E23" w:rsidRPr="007C3549" w:rsidRDefault="00836E23" w:rsidP="00BF393A">
      <w:pPr>
        <w:pStyle w:val="act-f"/>
        <w:tabs>
          <w:tab w:val="clear" w:pos="0"/>
        </w:tabs>
        <w:spacing w:line="240" w:lineRule="auto"/>
        <w:rPr>
          <w:sz w:val="24"/>
          <w:szCs w:val="24"/>
        </w:rPr>
      </w:pPr>
      <w:r w:rsidRPr="007C3549">
        <w:rPr>
          <w:sz w:val="24"/>
          <w:szCs w:val="24"/>
        </w:rPr>
        <w:t>Loi sur les tribunaux judiciaires</w:t>
      </w:r>
    </w:p>
    <w:p w14:paraId="1CCA2FE2" w14:textId="77777777" w:rsidR="00836E23" w:rsidRPr="007C3549" w:rsidRDefault="00836E23" w:rsidP="00BF393A">
      <w:pPr>
        <w:pStyle w:val="subject-f"/>
        <w:tabs>
          <w:tab w:val="clear" w:pos="0"/>
        </w:tabs>
        <w:spacing w:line="240" w:lineRule="auto"/>
        <w:rPr>
          <w:sz w:val="24"/>
          <w:szCs w:val="24"/>
        </w:rPr>
      </w:pPr>
      <w:r w:rsidRPr="007C3549">
        <w:rPr>
          <w:sz w:val="24"/>
          <w:szCs w:val="24"/>
        </w:rPr>
        <w:t>jugement de rachat par défaut</w:t>
      </w:r>
    </w:p>
    <w:p w14:paraId="139BA601" w14:textId="77777777" w:rsidR="00836E23" w:rsidRPr="007C3549" w:rsidRDefault="00836E23" w:rsidP="00BF393A">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rPr>
      </w:pPr>
      <w:r w:rsidRPr="007C3549">
        <w:rPr>
          <w:sz w:val="24"/>
          <w:szCs w:val="24"/>
        </w:rPr>
        <w:t>(</w:t>
      </w:r>
      <w:proofErr w:type="gramStart"/>
      <w:r w:rsidRPr="007C3549">
        <w:rPr>
          <w:sz w:val="24"/>
          <w:szCs w:val="24"/>
        </w:rPr>
        <w:t>titre</w:t>
      </w:r>
      <w:proofErr w:type="gramEnd"/>
      <w:r w:rsidRPr="007C3549">
        <w:rPr>
          <w:sz w:val="24"/>
          <w:szCs w:val="24"/>
        </w:rPr>
        <w:t>)</w:t>
      </w:r>
    </w:p>
    <w:p w14:paraId="553C30FB" w14:textId="20732AEA" w:rsidR="00836E23" w:rsidRPr="009353FA" w:rsidRDefault="00CF6E65" w:rsidP="00BF393A">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rPr>
          <w:i w:val="0"/>
          <w:iCs/>
          <w:sz w:val="24"/>
          <w:szCs w:val="24"/>
        </w:rPr>
      </w:pPr>
      <w:r w:rsidRPr="009353FA">
        <w:rPr>
          <w:i w:val="0"/>
          <w:iCs/>
          <w:sz w:val="24"/>
          <w:szCs w:val="24"/>
        </w:rPr>
        <w:t>[SCEAU]</w:t>
      </w:r>
    </w:p>
    <w:p w14:paraId="012FE501" w14:textId="77777777" w:rsidR="00836E23" w:rsidRPr="007C3549" w:rsidRDefault="00836E23" w:rsidP="00BF393A">
      <w:pPr>
        <w:pStyle w:val="zheadingx-f"/>
        <w:tabs>
          <w:tab w:val="clear" w:pos="0"/>
        </w:tabs>
        <w:spacing w:line="240" w:lineRule="auto"/>
        <w:rPr>
          <w:sz w:val="24"/>
          <w:szCs w:val="24"/>
        </w:rPr>
      </w:pPr>
      <w:r w:rsidRPr="007C3549">
        <w:rPr>
          <w:sz w:val="24"/>
          <w:szCs w:val="24"/>
        </w:rPr>
        <w:t>jugement</w:t>
      </w:r>
    </w:p>
    <w:p w14:paraId="25710658" w14:textId="77777777" w:rsidR="00836E23" w:rsidRPr="007C3549" w:rsidRDefault="00836E23" w:rsidP="00BF393A">
      <w:pPr>
        <w:pStyle w:val="zparawtab-f"/>
        <w:spacing w:line="240" w:lineRule="auto"/>
        <w:rPr>
          <w:i/>
          <w:sz w:val="24"/>
          <w:szCs w:val="24"/>
        </w:rPr>
      </w:pPr>
      <w:r w:rsidRPr="007C3549">
        <w:rPr>
          <w:sz w:val="24"/>
          <w:szCs w:val="24"/>
        </w:rPr>
        <w:tab/>
      </w:r>
      <w:r w:rsidRPr="007C3549">
        <w:rPr>
          <w:sz w:val="24"/>
          <w:szCs w:val="24"/>
        </w:rPr>
        <w:tab/>
        <w:t>Après avoir lu la déclaration dans la présente action et la preuve de sa signification au(x) défendeur(s) qui ont été déposées, et attendu que le défaut du (des) défendeur(s) a été constaté</w:t>
      </w:r>
      <w:r w:rsidRPr="007C3549">
        <w:rPr>
          <w:i/>
          <w:sz w:val="24"/>
          <w:szCs w:val="24"/>
        </w:rPr>
        <w:t>,</w:t>
      </w:r>
    </w:p>
    <w:p w14:paraId="7C0D3389" w14:textId="77777777" w:rsidR="00836E23" w:rsidRPr="007C3549" w:rsidRDefault="00836E23" w:rsidP="00BF393A">
      <w:pPr>
        <w:pStyle w:val="zparawtab-f"/>
        <w:tabs>
          <w:tab w:val="left" w:pos="6934"/>
        </w:tabs>
        <w:spacing w:line="240" w:lineRule="auto"/>
        <w:rPr>
          <w:i/>
          <w:sz w:val="24"/>
          <w:szCs w:val="24"/>
        </w:rPr>
      </w:pPr>
      <w:r w:rsidRPr="007C3549">
        <w:rPr>
          <w:sz w:val="24"/>
          <w:szCs w:val="24"/>
        </w:rPr>
        <w:t>1.</w:t>
      </w:r>
      <w:r w:rsidRPr="007C3549">
        <w:rPr>
          <w:sz w:val="24"/>
          <w:szCs w:val="24"/>
        </w:rPr>
        <w:tab/>
      </w:r>
      <w:r w:rsidRPr="007C3549">
        <w:rPr>
          <w:sz w:val="24"/>
          <w:szCs w:val="24"/>
        </w:rPr>
        <w:tab/>
        <w:t xml:space="preserve">IL EST ORDONNÉ ET JUGÉ que soient menées les enquêtes nécessaires, que soit établi l’état des comptes, que soient fixés ou liquidés les dépens et que soient prises des mesures en vue du rachat du bien hypothéqué décrit dans l’annexe ci-jointe et, qu’à ces fins, l’action soit renvoyée au </w:t>
      </w:r>
      <w:r w:rsidR="0082035A" w:rsidRPr="007C3549">
        <w:rPr>
          <w:sz w:val="24"/>
          <w:szCs w:val="24"/>
        </w:rPr>
        <w:t>juge associé</w:t>
      </w:r>
      <w:r w:rsidR="00BF393A" w:rsidRPr="007C3549">
        <w:rPr>
          <w:i/>
          <w:sz w:val="24"/>
          <w:szCs w:val="24"/>
        </w:rPr>
        <w:t xml:space="preserve"> </w:t>
      </w:r>
      <w:r w:rsidRPr="007C3549">
        <w:rPr>
          <w:i/>
          <w:sz w:val="24"/>
          <w:szCs w:val="24"/>
        </w:rPr>
        <w:t>(ou la mention appropriée)</w:t>
      </w:r>
      <w:r w:rsidRPr="007C3549">
        <w:rPr>
          <w:sz w:val="24"/>
          <w:szCs w:val="24"/>
        </w:rPr>
        <w:t xml:space="preserve"> à/au </w:t>
      </w:r>
      <w:r w:rsidRPr="007C3549">
        <w:rPr>
          <w:i/>
          <w:sz w:val="24"/>
          <w:szCs w:val="24"/>
        </w:rPr>
        <w:t>(lieu).</w:t>
      </w:r>
    </w:p>
    <w:p w14:paraId="217F04BF" w14:textId="77777777" w:rsidR="00836E23" w:rsidRPr="007C3549" w:rsidRDefault="00836E23" w:rsidP="00BF393A">
      <w:pPr>
        <w:pStyle w:val="zparawtab-f"/>
        <w:spacing w:line="240" w:lineRule="auto"/>
        <w:rPr>
          <w:sz w:val="24"/>
          <w:szCs w:val="24"/>
        </w:rPr>
      </w:pPr>
      <w:r w:rsidRPr="007C3549">
        <w:rPr>
          <w:sz w:val="24"/>
          <w:szCs w:val="24"/>
        </w:rPr>
        <w:t>2.</w:t>
      </w:r>
      <w:r w:rsidRPr="007C3549">
        <w:rPr>
          <w:sz w:val="24"/>
          <w:szCs w:val="24"/>
        </w:rPr>
        <w:tab/>
      </w:r>
      <w:r w:rsidRPr="007C3549">
        <w:rPr>
          <w:sz w:val="24"/>
          <w:szCs w:val="24"/>
        </w:rPr>
        <w:tab/>
        <w:t xml:space="preserve">IL EST ORDONNÉ ET JUGÉ que dès que le demandeur verse au défendeur </w:t>
      </w:r>
      <w:r w:rsidRPr="007C3549">
        <w:rPr>
          <w:i/>
          <w:sz w:val="24"/>
          <w:szCs w:val="24"/>
        </w:rPr>
        <w:t xml:space="preserve">(nom du créancier </w:t>
      </w:r>
      <w:proofErr w:type="gramStart"/>
      <w:r w:rsidRPr="007C3549">
        <w:rPr>
          <w:i/>
          <w:sz w:val="24"/>
          <w:szCs w:val="24"/>
        </w:rPr>
        <w:t>hypothécaire</w:t>
      </w:r>
      <w:proofErr w:type="gramEnd"/>
      <w:r w:rsidRPr="007C3549">
        <w:rPr>
          <w:i/>
          <w:sz w:val="24"/>
          <w:szCs w:val="24"/>
        </w:rPr>
        <w:t xml:space="preserve">) </w:t>
      </w:r>
      <w:r w:rsidRPr="007C3549">
        <w:rPr>
          <w:sz w:val="24"/>
          <w:szCs w:val="24"/>
        </w:rPr>
        <w:t xml:space="preserve">le montant dû sur l’hypothèque en cause, ou, si aucune somme n’est due, dès la confirmation du rapport sur le renvoi, le défendeur cède le bien hypothéqué au demandeur ou se conforme aux directives de ce dernier aux termes de l’article 2 de la </w:t>
      </w:r>
      <w:r w:rsidRPr="007C3549">
        <w:rPr>
          <w:i/>
          <w:sz w:val="24"/>
          <w:szCs w:val="24"/>
        </w:rPr>
        <w:t>Loi sur les hypothèques</w:t>
      </w:r>
      <w:r w:rsidRPr="007C3549">
        <w:rPr>
          <w:sz w:val="24"/>
          <w:szCs w:val="24"/>
        </w:rPr>
        <w:t xml:space="preserve"> et remette tous les documents qui se rapportent au bien hypothéqué.</w:t>
      </w:r>
    </w:p>
    <w:p w14:paraId="20E5D9E5" w14:textId="77777777" w:rsidR="00836E23" w:rsidRPr="007C3549" w:rsidRDefault="00836E23" w:rsidP="00BF393A">
      <w:pPr>
        <w:pStyle w:val="zparawtab-f"/>
        <w:tabs>
          <w:tab w:val="left" w:pos="9086"/>
        </w:tabs>
        <w:spacing w:line="240" w:lineRule="auto"/>
        <w:rPr>
          <w:sz w:val="24"/>
          <w:szCs w:val="24"/>
        </w:rPr>
      </w:pPr>
      <w:r w:rsidRPr="007C3549">
        <w:rPr>
          <w:sz w:val="24"/>
          <w:szCs w:val="24"/>
        </w:rPr>
        <w:t>3.</w:t>
      </w:r>
      <w:r w:rsidRPr="007C3549">
        <w:rPr>
          <w:sz w:val="24"/>
          <w:szCs w:val="24"/>
        </w:rPr>
        <w:tab/>
      </w:r>
      <w:r w:rsidRPr="007C3549">
        <w:rPr>
          <w:sz w:val="24"/>
          <w:szCs w:val="24"/>
        </w:rPr>
        <w:tab/>
        <w:t xml:space="preserve">IL EST ORDONNÉ ET JUGÉ que si le demandeur fait défaut de verser le montant dû au défendeur </w:t>
      </w:r>
      <w:r w:rsidRPr="007C3549">
        <w:rPr>
          <w:i/>
          <w:sz w:val="24"/>
          <w:szCs w:val="24"/>
        </w:rPr>
        <w:t>(nom du créancier hypothécaire)</w:t>
      </w:r>
      <w:r w:rsidRPr="007C3549">
        <w:rPr>
          <w:sz w:val="24"/>
          <w:szCs w:val="24"/>
        </w:rPr>
        <w:t>,</w:t>
      </w:r>
      <w:r w:rsidRPr="007C3549">
        <w:rPr>
          <w:i/>
          <w:sz w:val="24"/>
          <w:szCs w:val="24"/>
        </w:rPr>
        <w:t xml:space="preserve"> </w:t>
      </w:r>
      <w:r w:rsidRPr="007C3549">
        <w:rPr>
          <w:sz w:val="24"/>
          <w:szCs w:val="24"/>
        </w:rPr>
        <w:t>le défendeur ait droit, par voie de motion présentée sans préavis, à une ordonnance définitive de forclusion contre le demandeur ou à une ordonnance rejetant l’action avec dépens.</w:t>
      </w:r>
    </w:p>
    <w:p w14:paraId="2CE4FD1C" w14:textId="77777777" w:rsidR="00836E23" w:rsidRPr="007C3549" w:rsidRDefault="00836E23" w:rsidP="00BF393A">
      <w:pPr>
        <w:pStyle w:val="zparawtab-f"/>
        <w:tabs>
          <w:tab w:val="left" w:pos="9086"/>
        </w:tabs>
        <w:spacing w:line="240" w:lineRule="auto"/>
        <w:rPr>
          <w:sz w:val="24"/>
          <w:szCs w:val="24"/>
        </w:rPr>
      </w:pPr>
      <w:r w:rsidRPr="007C3549">
        <w:rPr>
          <w:sz w:val="24"/>
          <w:szCs w:val="24"/>
        </w:rPr>
        <w:t>4.</w:t>
      </w:r>
      <w:r w:rsidRPr="007C3549">
        <w:rPr>
          <w:sz w:val="24"/>
          <w:szCs w:val="24"/>
        </w:rPr>
        <w:tab/>
      </w:r>
      <w:r w:rsidRPr="007C3549">
        <w:rPr>
          <w:sz w:val="24"/>
          <w:szCs w:val="24"/>
        </w:rPr>
        <w:tab/>
        <w:t xml:space="preserve">IL EST ORDONNÉ ET JUGÉ que si aucune somme n’est due au défendeur </w:t>
      </w:r>
      <w:r w:rsidRPr="007C3549">
        <w:rPr>
          <w:i/>
          <w:sz w:val="24"/>
          <w:szCs w:val="24"/>
        </w:rPr>
        <w:t>(nom du créancier hypothécaire)</w:t>
      </w:r>
      <w:r w:rsidRPr="007C3549">
        <w:rPr>
          <w:sz w:val="24"/>
          <w:szCs w:val="24"/>
        </w:rPr>
        <w:t>,</w:t>
      </w:r>
      <w:r w:rsidRPr="007C3549">
        <w:rPr>
          <w:i/>
          <w:sz w:val="24"/>
          <w:szCs w:val="24"/>
        </w:rPr>
        <w:t xml:space="preserve"> </w:t>
      </w:r>
      <w:r w:rsidRPr="007C3549">
        <w:rPr>
          <w:sz w:val="24"/>
          <w:szCs w:val="24"/>
        </w:rPr>
        <w:t xml:space="preserve">le défendeur paie au demandeur les dépens de l’action et que si le défendeur </w:t>
      </w:r>
      <w:r w:rsidRPr="007C3549">
        <w:rPr>
          <w:i/>
          <w:sz w:val="24"/>
          <w:szCs w:val="24"/>
        </w:rPr>
        <w:t>(nom du créancier hypothécaire)</w:t>
      </w:r>
      <w:r w:rsidRPr="007C3549">
        <w:rPr>
          <w:sz w:val="24"/>
          <w:szCs w:val="24"/>
        </w:rPr>
        <w:t xml:space="preserve"> doit un solde au demandeur, le défendeur le lui verse dès la confirmation du rapport sur le renvoi.</w:t>
      </w:r>
    </w:p>
    <w:p w14:paraId="67CEE99F" w14:textId="77777777" w:rsidR="00836E23" w:rsidRPr="007C3549" w:rsidRDefault="00836E23" w:rsidP="00BF393A">
      <w:pPr>
        <w:pStyle w:val="zparawtab-f"/>
        <w:tabs>
          <w:tab w:val="left" w:pos="9325"/>
        </w:tabs>
        <w:spacing w:line="240" w:lineRule="auto"/>
        <w:rPr>
          <w:sz w:val="24"/>
          <w:szCs w:val="24"/>
        </w:rPr>
      </w:pPr>
      <w:r w:rsidRPr="007C3549">
        <w:rPr>
          <w:sz w:val="24"/>
          <w:szCs w:val="24"/>
        </w:rPr>
        <w:tab/>
      </w:r>
      <w:r w:rsidRPr="007C3549">
        <w:rPr>
          <w:sz w:val="24"/>
          <w:szCs w:val="24"/>
        </w:rPr>
        <w:tab/>
        <w:t>LE PRÉSENT JUGEMENT PORTE INTÉR</w:t>
      </w:r>
      <w:r w:rsidRPr="007C3549">
        <w:rPr>
          <w:caps/>
          <w:sz w:val="24"/>
          <w:szCs w:val="24"/>
        </w:rPr>
        <w:t>ê</w:t>
      </w:r>
      <w:r w:rsidRPr="007C3549">
        <w:rPr>
          <w:sz w:val="24"/>
          <w:szCs w:val="24"/>
        </w:rPr>
        <w:t>T au taux précisé dans le rapport sur le renvoi à partir de la date de confirmation du rapport.</w:t>
      </w:r>
    </w:p>
    <w:p w14:paraId="07E5596C" w14:textId="77777777" w:rsidR="00836E23" w:rsidRPr="007C3549" w:rsidRDefault="00836E23" w:rsidP="00BF393A">
      <w:pPr>
        <w:pStyle w:val="table-e"/>
        <w:tabs>
          <w:tab w:val="left" w:pos="5040"/>
        </w:tabs>
        <w:spacing w:before="360" w:line="240" w:lineRule="auto"/>
        <w:rPr>
          <w:sz w:val="24"/>
          <w:szCs w:val="24"/>
          <w:lang w:val="fr-CA"/>
        </w:rPr>
      </w:pPr>
      <w:proofErr w:type="gramStart"/>
      <w:r w:rsidRPr="007C3549">
        <w:rPr>
          <w:sz w:val="24"/>
          <w:szCs w:val="24"/>
          <w:lang w:val="fr-CA"/>
        </w:rPr>
        <w:t>date</w:t>
      </w:r>
      <w:proofErr w:type="gramEnd"/>
      <w:r w:rsidRPr="007C3549">
        <w:rPr>
          <w:sz w:val="24"/>
          <w:szCs w:val="24"/>
          <w:lang w:val="fr-CA"/>
        </w:rPr>
        <w:t xml:space="preserve"> ........................................................................</w:t>
      </w:r>
      <w:r w:rsidRPr="007C3549">
        <w:rPr>
          <w:sz w:val="24"/>
          <w:szCs w:val="24"/>
          <w:lang w:val="fr-CA"/>
        </w:rPr>
        <w:tab/>
      </w:r>
      <w:proofErr w:type="gramStart"/>
      <w:r w:rsidRPr="007C3549">
        <w:rPr>
          <w:sz w:val="24"/>
          <w:szCs w:val="24"/>
          <w:lang w:val="fr-CA"/>
        </w:rPr>
        <w:t>signature</w:t>
      </w:r>
      <w:proofErr w:type="gramEnd"/>
      <w:r w:rsidRPr="007C3549">
        <w:rPr>
          <w:sz w:val="24"/>
          <w:szCs w:val="24"/>
          <w:lang w:val="fr-CA"/>
        </w:rPr>
        <w:t xml:space="preserve"> ....................................................................</w:t>
      </w:r>
    </w:p>
    <w:p w14:paraId="04A443DA" w14:textId="77777777" w:rsidR="00836E23" w:rsidRPr="007C3549" w:rsidRDefault="00836E23" w:rsidP="00BF393A">
      <w:pPr>
        <w:pStyle w:val="table-e"/>
        <w:tabs>
          <w:tab w:val="left" w:pos="6840"/>
        </w:tabs>
        <w:spacing w:line="240" w:lineRule="auto"/>
        <w:rPr>
          <w:sz w:val="24"/>
          <w:szCs w:val="24"/>
          <w:lang w:val="fr-CA"/>
        </w:rPr>
      </w:pPr>
      <w:r w:rsidRPr="007C3549">
        <w:rPr>
          <w:sz w:val="24"/>
          <w:szCs w:val="24"/>
          <w:lang w:val="fr-CA"/>
        </w:rPr>
        <w:tab/>
      </w:r>
      <w:proofErr w:type="gramStart"/>
      <w:r w:rsidRPr="007C3549">
        <w:rPr>
          <w:sz w:val="24"/>
          <w:szCs w:val="24"/>
          <w:lang w:val="fr-CA"/>
        </w:rPr>
        <w:t>greffier</w:t>
      </w:r>
      <w:proofErr w:type="gramEnd"/>
      <w:r w:rsidRPr="007C3549">
        <w:rPr>
          <w:sz w:val="24"/>
          <w:szCs w:val="24"/>
          <w:lang w:val="fr-CA"/>
        </w:rPr>
        <w:t xml:space="preserve"> local</w:t>
      </w:r>
    </w:p>
    <w:p w14:paraId="2CCBBDD7" w14:textId="77777777" w:rsidR="00BF393A" w:rsidRPr="007C3549" w:rsidRDefault="00BF393A" w:rsidP="00BF393A">
      <w:pPr>
        <w:pStyle w:val="table-e"/>
        <w:tabs>
          <w:tab w:val="left" w:pos="6840"/>
        </w:tabs>
        <w:spacing w:line="240" w:lineRule="auto"/>
        <w:rPr>
          <w:sz w:val="24"/>
          <w:szCs w:val="24"/>
          <w:lang w:val="fr-CA"/>
        </w:rPr>
      </w:pPr>
    </w:p>
    <w:p w14:paraId="1F3EAB10" w14:textId="77777777" w:rsidR="00836E23" w:rsidRPr="007C3549" w:rsidRDefault="00836E23" w:rsidP="00BF393A">
      <w:pPr>
        <w:pStyle w:val="table-e"/>
        <w:tabs>
          <w:tab w:val="left" w:pos="5040"/>
        </w:tabs>
        <w:spacing w:line="240" w:lineRule="auto"/>
        <w:rPr>
          <w:sz w:val="24"/>
          <w:szCs w:val="24"/>
          <w:lang w:val="fr-CA"/>
        </w:rPr>
      </w:pPr>
      <w:r w:rsidRPr="007C3549">
        <w:rPr>
          <w:sz w:val="24"/>
          <w:szCs w:val="24"/>
          <w:lang w:val="fr-CA"/>
        </w:rPr>
        <w:tab/>
      </w:r>
      <w:proofErr w:type="gramStart"/>
      <w:r w:rsidRPr="007C3549">
        <w:rPr>
          <w:sz w:val="24"/>
          <w:szCs w:val="24"/>
          <w:lang w:val="fr-CA"/>
        </w:rPr>
        <w:t>adresse</w:t>
      </w:r>
      <w:proofErr w:type="gramEnd"/>
      <w:r w:rsidRPr="007C3549">
        <w:rPr>
          <w:sz w:val="24"/>
          <w:szCs w:val="24"/>
          <w:lang w:val="fr-CA"/>
        </w:rPr>
        <w:t xml:space="preserve"> du</w:t>
      </w:r>
    </w:p>
    <w:p w14:paraId="42354301" w14:textId="77777777" w:rsidR="00836E23" w:rsidRPr="007C3549" w:rsidRDefault="00836E23" w:rsidP="00BF393A">
      <w:pPr>
        <w:pStyle w:val="table-e"/>
        <w:tabs>
          <w:tab w:val="left" w:pos="5040"/>
        </w:tabs>
        <w:spacing w:line="240" w:lineRule="auto"/>
        <w:rPr>
          <w:sz w:val="24"/>
          <w:szCs w:val="24"/>
          <w:lang w:val="fr-CA"/>
        </w:rPr>
      </w:pPr>
      <w:r w:rsidRPr="007C3549">
        <w:rPr>
          <w:sz w:val="24"/>
          <w:szCs w:val="24"/>
          <w:lang w:val="fr-CA"/>
        </w:rPr>
        <w:tab/>
      </w:r>
      <w:proofErr w:type="gramStart"/>
      <w:r w:rsidRPr="007C3549">
        <w:rPr>
          <w:sz w:val="24"/>
          <w:szCs w:val="24"/>
          <w:lang w:val="fr-CA"/>
        </w:rPr>
        <w:t>greffe</w:t>
      </w:r>
      <w:proofErr w:type="gramEnd"/>
      <w:r w:rsidRPr="007C3549">
        <w:rPr>
          <w:sz w:val="24"/>
          <w:szCs w:val="24"/>
          <w:lang w:val="fr-CA"/>
        </w:rPr>
        <w:t xml:space="preserve">     .......................................................</w:t>
      </w:r>
      <w:r w:rsidR="00BF393A" w:rsidRPr="007C3549">
        <w:rPr>
          <w:sz w:val="24"/>
          <w:szCs w:val="24"/>
          <w:lang w:val="fr-CA"/>
        </w:rPr>
        <w:t>..</w:t>
      </w:r>
      <w:r w:rsidRPr="007C3549">
        <w:rPr>
          <w:sz w:val="24"/>
          <w:szCs w:val="24"/>
          <w:lang w:val="fr-CA"/>
        </w:rPr>
        <w:t>............</w:t>
      </w:r>
    </w:p>
    <w:p w14:paraId="10584E10" w14:textId="77777777" w:rsidR="00BF393A" w:rsidRPr="007C3549" w:rsidRDefault="00BF393A" w:rsidP="00BF393A">
      <w:pPr>
        <w:pStyle w:val="table-e"/>
        <w:tabs>
          <w:tab w:val="left" w:pos="5040"/>
        </w:tabs>
        <w:spacing w:line="240" w:lineRule="auto"/>
        <w:rPr>
          <w:sz w:val="24"/>
          <w:szCs w:val="24"/>
          <w:lang w:val="fr-CA"/>
        </w:rPr>
      </w:pPr>
    </w:p>
    <w:p w14:paraId="26B78758" w14:textId="77777777" w:rsidR="00836E23" w:rsidRPr="007C3549" w:rsidRDefault="00836E23" w:rsidP="00BF393A">
      <w:pPr>
        <w:pStyle w:val="table-e"/>
        <w:tabs>
          <w:tab w:val="left" w:pos="5913"/>
        </w:tabs>
        <w:spacing w:line="240" w:lineRule="auto"/>
        <w:rPr>
          <w:sz w:val="24"/>
          <w:szCs w:val="24"/>
          <w:lang w:val="fr-CA"/>
        </w:rPr>
      </w:pPr>
      <w:r w:rsidRPr="007C3549">
        <w:rPr>
          <w:sz w:val="24"/>
          <w:szCs w:val="24"/>
          <w:lang w:val="fr-CA"/>
        </w:rPr>
        <w:tab/>
        <w:t>.....................................................................</w:t>
      </w:r>
    </w:p>
    <w:p w14:paraId="69CFF20A" w14:textId="77777777" w:rsidR="00836E23" w:rsidRPr="007C3549" w:rsidRDefault="00836E23" w:rsidP="00BF393A">
      <w:pPr>
        <w:rPr>
          <w:snapToGrid w:val="0"/>
          <w:lang w:val="fr-CA"/>
        </w:rPr>
      </w:pPr>
    </w:p>
    <w:p w14:paraId="698556E0" w14:textId="77777777" w:rsidR="00836E23" w:rsidRPr="007C3549" w:rsidRDefault="00836E23" w:rsidP="00BF393A">
      <w:pPr>
        <w:pStyle w:val="zparanoindt-f"/>
        <w:spacing w:line="240" w:lineRule="auto"/>
        <w:rPr>
          <w:i/>
          <w:iCs/>
          <w:sz w:val="24"/>
          <w:szCs w:val="24"/>
        </w:rPr>
      </w:pPr>
      <w:r w:rsidRPr="007C3549">
        <w:rPr>
          <w:i/>
          <w:iCs/>
          <w:sz w:val="24"/>
          <w:szCs w:val="24"/>
        </w:rPr>
        <w:t>(La description du bien hypothéqué dans l’annexe ci-jointe doit être la même que celle qui se trouve dans la déclaration.)</w:t>
      </w:r>
    </w:p>
    <w:p w14:paraId="3B62C922" w14:textId="77777777" w:rsidR="00836E23" w:rsidRPr="009353FA" w:rsidRDefault="00836E23" w:rsidP="00BF393A">
      <w:pPr>
        <w:pStyle w:val="footnote-f"/>
        <w:spacing w:line="240" w:lineRule="auto"/>
      </w:pPr>
      <w:r w:rsidRPr="009353FA">
        <w:t>RCP-F 64M (1</w:t>
      </w:r>
      <w:r w:rsidRPr="009353FA">
        <w:rPr>
          <w:vertAlign w:val="superscript"/>
        </w:rPr>
        <w:t>er</w:t>
      </w:r>
      <w:r w:rsidRPr="009353FA">
        <w:t xml:space="preserve"> </w:t>
      </w:r>
      <w:r w:rsidR="001D3021" w:rsidRPr="009353FA">
        <w:t>avril</w:t>
      </w:r>
      <w:r w:rsidRPr="009353FA">
        <w:t xml:space="preserve"> </w:t>
      </w:r>
      <w:r w:rsidR="00ED13A1" w:rsidRPr="009353FA">
        <w:t>202</w:t>
      </w:r>
      <w:r w:rsidR="001D3021" w:rsidRPr="009353FA">
        <w:t>1</w:t>
      </w:r>
      <w:r w:rsidRPr="009353FA">
        <w:t>)</w:t>
      </w:r>
    </w:p>
    <w:sectPr w:rsidR="00836E23" w:rsidRPr="009353FA" w:rsidSect="00BF393A">
      <w:headerReference w:type="default" r:id="rId6"/>
      <w:pgSz w:w="12240" w:h="15840"/>
      <w:pgMar w:top="810"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45711" w14:textId="77777777" w:rsidR="00BA3023" w:rsidRDefault="00BA3023" w:rsidP="00ED13A1">
      <w:r>
        <w:separator/>
      </w:r>
    </w:p>
  </w:endnote>
  <w:endnote w:type="continuationSeparator" w:id="0">
    <w:p w14:paraId="7DD5C928" w14:textId="77777777" w:rsidR="00BA3023" w:rsidRDefault="00BA3023" w:rsidP="00ED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AFD8F" w14:textId="77777777" w:rsidR="00BA3023" w:rsidRDefault="00BA3023" w:rsidP="00ED13A1">
      <w:r>
        <w:separator/>
      </w:r>
    </w:p>
  </w:footnote>
  <w:footnote w:type="continuationSeparator" w:id="0">
    <w:p w14:paraId="1C9FF80E" w14:textId="77777777" w:rsidR="00BA3023" w:rsidRDefault="00BA3023" w:rsidP="00ED1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EB534" w14:textId="44B82964" w:rsidR="009353FA" w:rsidRPr="009353FA" w:rsidRDefault="009353FA" w:rsidP="009353FA">
    <w:pPr>
      <w:pStyle w:val="Header"/>
      <w:jc w:val="center"/>
      <w:rPr>
        <w:sz w:val="20"/>
        <w:szCs w:val="20"/>
      </w:rPr>
    </w:pPr>
  </w:p>
  <w:p w14:paraId="6818AEBA" w14:textId="77777777" w:rsidR="009353FA" w:rsidRPr="009353FA" w:rsidRDefault="009353FA" w:rsidP="009353FA">
    <w:pPr>
      <w:pStyle w:val="Header"/>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3A1"/>
    <w:rsid w:val="000A0E10"/>
    <w:rsid w:val="001D3021"/>
    <w:rsid w:val="0030746F"/>
    <w:rsid w:val="0061346D"/>
    <w:rsid w:val="007C3549"/>
    <w:rsid w:val="0082035A"/>
    <w:rsid w:val="00836E23"/>
    <w:rsid w:val="009353FA"/>
    <w:rsid w:val="00A435CB"/>
    <w:rsid w:val="00BA3023"/>
    <w:rsid w:val="00BF393A"/>
    <w:rsid w:val="00C56B34"/>
    <w:rsid w:val="00CF6E65"/>
    <w:rsid w:val="00D2024E"/>
    <w:rsid w:val="00ED13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5F12859"/>
  <w15:chartTrackingRefBased/>
  <w15:docId w15:val="{014CBEC4-8818-487C-BE42-20AB1AEF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c-i-ul-f">
    <w:name w:val="zc-i-u/l-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court-f">
    <w:name w:val="zcourt-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paragraph" w:customStyle="1" w:styleId="table-e">
    <w:name w:val="table-e"/>
    <w:pPr>
      <w:suppressAutoHyphens/>
      <w:spacing w:before="11" w:line="189" w:lineRule="exact"/>
    </w:pPr>
    <w:rPr>
      <w:snapToGrid w:val="0"/>
      <w:sz w:val="18"/>
      <w:lang w:val="en-GB" w:eastAsia="en-U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rsid w:val="009353FA"/>
    <w:pPr>
      <w:tabs>
        <w:tab w:val="center" w:pos="4680"/>
        <w:tab w:val="right" w:pos="9360"/>
      </w:tabs>
    </w:pPr>
  </w:style>
  <w:style w:type="character" w:customStyle="1" w:styleId="HeaderChar">
    <w:name w:val="Header Char"/>
    <w:basedOn w:val="DefaultParagraphFont"/>
    <w:link w:val="Header"/>
    <w:uiPriority w:val="99"/>
    <w:rsid w:val="009353FA"/>
    <w:rPr>
      <w:sz w:val="24"/>
      <w:szCs w:val="24"/>
      <w:lang w:eastAsia="en-US"/>
    </w:rPr>
  </w:style>
  <w:style w:type="paragraph" w:styleId="Footer">
    <w:name w:val="footer"/>
    <w:basedOn w:val="Normal"/>
    <w:link w:val="FooterChar"/>
    <w:uiPriority w:val="99"/>
    <w:unhideWhenUsed/>
    <w:rsid w:val="009353FA"/>
    <w:pPr>
      <w:tabs>
        <w:tab w:val="center" w:pos="4680"/>
        <w:tab w:val="right" w:pos="9360"/>
      </w:tabs>
    </w:pPr>
  </w:style>
  <w:style w:type="character" w:customStyle="1" w:styleId="FooterChar">
    <w:name w:val="Footer Char"/>
    <w:basedOn w:val="DefaultParagraphFont"/>
    <w:link w:val="Footer"/>
    <w:uiPriority w:val="99"/>
    <w:rsid w:val="009353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RCP-F 64M </vt:lpstr>
    </vt:vector>
  </TitlesOfParts>
  <Company>MAG</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64M</dc:title>
  <dc:subject>Formule 64M : Jugement de rachat par défaut</dc:subject>
  <dc:creator>Rottman, M.</dc:creator>
  <cp:keywords/>
  <dc:description/>
  <cp:lastModifiedBy>Schell, Denise (MAG)</cp:lastModifiedBy>
  <cp:revision>4</cp:revision>
  <cp:lastPrinted>2005-11-17T22:37:00Z</cp:lastPrinted>
  <dcterms:created xsi:type="dcterms:W3CDTF">2021-11-22T18:58:00Z</dcterms:created>
  <dcterms:modified xsi:type="dcterms:W3CDTF">2022-02-01T16:04:00Z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2021-11-22T18:58:12Z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b736b36f-bf87-40ee-a693-dc85bab8019e</vt:lpwstr>
  </property>
  <property fmtid="{D5CDD505-2E9C-101B-9397-08002B2CF9AE}" pid="8" name="MSIP_Label_034a106e-6316-442c-ad35-738afd673d2b_ContentBits">
    <vt:lpwstr>0</vt:lpwstr>
  </property>
</Properties>
</file>