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E0798" w14:textId="77777777" w:rsidR="00335924" w:rsidRDefault="008D393B">
      <w:pPr>
        <w:pStyle w:val="form-f"/>
        <w:tabs>
          <w:tab w:val="clear" w:pos="0"/>
        </w:tabs>
      </w:pPr>
      <w:r>
        <w:t>Formule 64D</w:t>
      </w:r>
    </w:p>
    <w:p w14:paraId="49B637E5" w14:textId="77777777" w:rsidR="00335924" w:rsidRDefault="008D393B">
      <w:pPr>
        <w:pStyle w:val="act-f"/>
        <w:tabs>
          <w:tab w:val="clear" w:pos="0"/>
        </w:tabs>
      </w:pPr>
      <w:r>
        <w:t>Loi sur les tribunaux judiciaires</w:t>
      </w:r>
    </w:p>
    <w:p w14:paraId="6E8B38AF" w14:textId="77777777" w:rsidR="00335924" w:rsidRDefault="008D393B">
      <w:pPr>
        <w:pStyle w:val="subject-f"/>
        <w:tabs>
          <w:tab w:val="clear" w:pos="0"/>
        </w:tabs>
      </w:pPr>
      <w:r>
        <w:t>jugement de forclusion par défaut sans renvoi</w:t>
      </w:r>
    </w:p>
    <w:p w14:paraId="6E0A9260" w14:textId="77777777" w:rsidR="00335924" w:rsidRDefault="008D393B">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pPr>
      <w:r>
        <w:t>(</w:t>
      </w:r>
      <w:proofErr w:type="gramStart"/>
      <w:r>
        <w:t>titre</w:t>
      </w:r>
      <w:proofErr w:type="gramEnd"/>
      <w:r>
        <w:t>)</w:t>
      </w:r>
    </w:p>
    <w:p w14:paraId="269E5002" w14:textId="44C84237" w:rsidR="00335924" w:rsidRPr="005D5C5A" w:rsidRDefault="00564665">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rPr>
          <w:i w:val="0"/>
          <w:iCs/>
        </w:rPr>
      </w:pPr>
      <w:r w:rsidRPr="005D5C5A">
        <w:rPr>
          <w:i w:val="0"/>
          <w:iCs/>
        </w:rPr>
        <w:t>[SCEAU]</w:t>
      </w:r>
    </w:p>
    <w:p w14:paraId="22701C31" w14:textId="77777777" w:rsidR="00335924" w:rsidRDefault="008D393B">
      <w:pPr>
        <w:pStyle w:val="zheadingx-f"/>
        <w:tabs>
          <w:tab w:val="clear" w:pos="0"/>
        </w:tabs>
      </w:pPr>
      <w:r>
        <w:t>jugement</w:t>
      </w:r>
    </w:p>
    <w:p w14:paraId="41F657DF" w14:textId="77777777" w:rsidR="00335924" w:rsidRDefault="008D393B">
      <w:pPr>
        <w:pStyle w:val="zparawtab-f"/>
        <w:rPr>
          <w:i/>
        </w:rPr>
      </w:pPr>
      <w:r>
        <w:tab/>
      </w:r>
      <w:r>
        <w:tab/>
        <w:t>Après avoir lu la déclaration dans la présente action et la preuve de sa signification au(x) défendeur(s), qui ont été déposées, et attendu qu’aucune demande de vente n’a été signifiée ni déposée, que le(s) défendeur(s) (</w:t>
      </w:r>
      <w:r>
        <w:rPr>
          <w:i/>
        </w:rPr>
        <w:t>nom(s)</w:t>
      </w:r>
      <w:r>
        <w:t xml:space="preserve">) a (ont) signifié et déposé une demande de rachat, que le défaut du (des) défendeur(s) a été constaté, que l’état de compte a été établi en présence de l’avocat du demandeur </w:t>
      </w:r>
      <w:r>
        <w:rPr>
          <w:i/>
        </w:rPr>
        <w:t>(ou</w:t>
      </w:r>
      <w:r>
        <w:t xml:space="preserve"> du demandeur</w:t>
      </w:r>
      <w:r>
        <w:rPr>
          <w:i/>
        </w:rPr>
        <w:t>)</w:t>
      </w:r>
      <w:r>
        <w:t xml:space="preserve"> et de l’avocat du (des) défendeur(s) (</w:t>
      </w:r>
      <w:r>
        <w:rPr>
          <w:i/>
        </w:rPr>
        <w:t>s’il y a lieu, ajouter : (désigner la partie)</w:t>
      </w:r>
      <w:r>
        <w:t xml:space="preserve"> comparaissant en personne </w:t>
      </w:r>
      <w:r>
        <w:rPr>
          <w:i/>
        </w:rPr>
        <w:t>ou</w:t>
      </w:r>
      <w:r>
        <w:t xml:space="preserve"> personne ne représentant le défendeur </w:t>
      </w:r>
      <w:r>
        <w:rPr>
          <w:i/>
        </w:rPr>
        <w:t>(nom)</w:t>
      </w:r>
      <w:r>
        <w:t xml:space="preserve">, même si celui-ci a reçu signification d’un avis à cet effet comme le démontre l’affidavit de </w:t>
      </w:r>
      <w:r>
        <w:rPr>
          <w:i/>
        </w:rPr>
        <w:t>(nom)</w:t>
      </w:r>
      <w:r>
        <w:rPr>
          <w:iCs/>
        </w:rPr>
        <w:t xml:space="preserve">, </w:t>
      </w:r>
      <w:r>
        <w:t>qui est déposé)</w:t>
      </w:r>
      <w:r>
        <w:rPr>
          <w:i/>
        </w:rPr>
        <w:t>,</w:t>
      </w:r>
    </w:p>
    <w:p w14:paraId="2295D836" w14:textId="77777777" w:rsidR="00335924" w:rsidRDefault="008D393B">
      <w:pPr>
        <w:pStyle w:val="zparawtab-f"/>
      </w:pPr>
      <w:r>
        <w:t>1.</w:t>
      </w:r>
      <w:r>
        <w:tab/>
      </w:r>
      <w:r>
        <w:tab/>
        <w:t xml:space="preserve">JE CONCLUS que le défendeur </w:t>
      </w:r>
      <w:r>
        <w:rPr>
          <w:i/>
        </w:rPr>
        <w:t>(nom du propriétaire du droit de rachat)</w:t>
      </w:r>
      <w:r>
        <w:t xml:space="preserve"> est redevable des sommes suivantes au demandeur au </w:t>
      </w:r>
      <w:r>
        <w:rPr>
          <w:i/>
        </w:rPr>
        <w:t>(date de rachat)</w:t>
      </w:r>
      <w:r>
        <w:t>, jour que j’ai fixé pour le paiement, en vertu de l’hypothèque visée dans la présente action :</w:t>
      </w:r>
    </w:p>
    <w:p w14:paraId="69944D0E" w14:textId="77777777" w:rsidR="00335924" w:rsidRDefault="00335924">
      <w:pPr>
        <w:spacing w:line="115" w:lineRule="exact"/>
        <w:rPr>
          <w:snapToGrid w:val="0"/>
          <w:lang w:val="fr-CA"/>
        </w:rPr>
      </w:pPr>
    </w:p>
    <w:tbl>
      <w:tblPr>
        <w:tblW w:w="0" w:type="auto"/>
        <w:tblInd w:w="60" w:type="dxa"/>
        <w:tblLayout w:type="fixed"/>
        <w:tblCellMar>
          <w:left w:w="60" w:type="dxa"/>
          <w:right w:w="60" w:type="dxa"/>
        </w:tblCellMar>
        <w:tblLook w:val="0000" w:firstRow="0" w:lastRow="0" w:firstColumn="0" w:lastColumn="0" w:noHBand="0" w:noVBand="0"/>
      </w:tblPr>
      <w:tblGrid>
        <w:gridCol w:w="600"/>
        <w:gridCol w:w="7320"/>
        <w:gridCol w:w="10"/>
        <w:gridCol w:w="1913"/>
      </w:tblGrid>
      <w:tr w:rsidR="00335924" w14:paraId="19F3611D" w14:textId="77777777">
        <w:tc>
          <w:tcPr>
            <w:tcW w:w="600" w:type="dxa"/>
          </w:tcPr>
          <w:p w14:paraId="795D1030" w14:textId="77777777" w:rsidR="00335924" w:rsidRDefault="008D393B">
            <w:pPr>
              <w:pStyle w:val="table-f"/>
            </w:pPr>
            <w:proofErr w:type="gramStart"/>
            <w:r>
              <w:t>a</w:t>
            </w:r>
            <w:proofErr w:type="gramEnd"/>
            <w:r>
              <w:t>)</w:t>
            </w:r>
          </w:p>
        </w:tc>
        <w:tc>
          <w:tcPr>
            <w:tcW w:w="7330" w:type="dxa"/>
            <w:gridSpan w:val="2"/>
          </w:tcPr>
          <w:p w14:paraId="0242F62E" w14:textId="77777777" w:rsidR="00335924" w:rsidRDefault="008D393B">
            <w:pPr>
              <w:pStyle w:val="table-f"/>
            </w:pPr>
            <w:proofErr w:type="gramStart"/>
            <w:r>
              <w:t>principal</w:t>
            </w:r>
            <w:proofErr w:type="gramEnd"/>
          </w:p>
        </w:tc>
        <w:tc>
          <w:tcPr>
            <w:tcW w:w="1913" w:type="dxa"/>
          </w:tcPr>
          <w:p w14:paraId="5DEAF62F" w14:textId="77777777" w:rsidR="00335924" w:rsidRDefault="008D393B">
            <w:pPr>
              <w:pStyle w:val="table-f"/>
              <w:tabs>
                <w:tab w:val="left" w:leader="dot" w:pos="1200"/>
              </w:tabs>
            </w:pPr>
            <w:r>
              <w:tab/>
              <w:t xml:space="preserve"> $</w:t>
            </w:r>
          </w:p>
        </w:tc>
      </w:tr>
      <w:tr w:rsidR="00335924" w14:paraId="55D14DB1" w14:textId="77777777">
        <w:tc>
          <w:tcPr>
            <w:tcW w:w="600" w:type="dxa"/>
          </w:tcPr>
          <w:p w14:paraId="28E15F91" w14:textId="77777777" w:rsidR="00335924" w:rsidRDefault="008D393B">
            <w:pPr>
              <w:pStyle w:val="table-f"/>
            </w:pPr>
            <w:proofErr w:type="gramStart"/>
            <w:r>
              <w:t>b</w:t>
            </w:r>
            <w:proofErr w:type="gramEnd"/>
            <w:r>
              <w:t>)</w:t>
            </w:r>
          </w:p>
        </w:tc>
        <w:tc>
          <w:tcPr>
            <w:tcW w:w="7330" w:type="dxa"/>
            <w:gridSpan w:val="2"/>
          </w:tcPr>
          <w:p w14:paraId="691C02D5" w14:textId="77777777" w:rsidR="00335924" w:rsidRDefault="008D393B">
            <w:pPr>
              <w:pStyle w:val="table-f"/>
            </w:pPr>
            <w:proofErr w:type="gramStart"/>
            <w:r>
              <w:t>impôts</w:t>
            </w:r>
            <w:proofErr w:type="gramEnd"/>
            <w:r>
              <w:t xml:space="preserve"> acquittés</w:t>
            </w:r>
          </w:p>
        </w:tc>
        <w:tc>
          <w:tcPr>
            <w:tcW w:w="1913" w:type="dxa"/>
          </w:tcPr>
          <w:p w14:paraId="72A59851" w14:textId="77777777" w:rsidR="00335924" w:rsidRDefault="008D393B">
            <w:pPr>
              <w:pStyle w:val="table-f"/>
              <w:tabs>
                <w:tab w:val="left" w:leader="dot" w:pos="1200"/>
              </w:tabs>
            </w:pPr>
            <w:r>
              <w:tab/>
              <w:t xml:space="preserve"> $</w:t>
            </w:r>
          </w:p>
        </w:tc>
      </w:tr>
      <w:tr w:rsidR="00335924" w14:paraId="7B2DB9B5" w14:textId="77777777">
        <w:tc>
          <w:tcPr>
            <w:tcW w:w="600" w:type="dxa"/>
          </w:tcPr>
          <w:p w14:paraId="599E594A" w14:textId="77777777" w:rsidR="00335924" w:rsidRDefault="008D393B">
            <w:pPr>
              <w:pStyle w:val="table-f"/>
            </w:pPr>
            <w:r>
              <w:t>c)</w:t>
            </w:r>
          </w:p>
        </w:tc>
        <w:tc>
          <w:tcPr>
            <w:tcW w:w="7330" w:type="dxa"/>
            <w:gridSpan w:val="2"/>
          </w:tcPr>
          <w:p w14:paraId="2AD44B7E" w14:textId="77777777" w:rsidR="00335924" w:rsidRDefault="008D393B">
            <w:pPr>
              <w:pStyle w:val="table-f"/>
            </w:pPr>
            <w:proofErr w:type="gramStart"/>
            <w:r>
              <w:t>primes</w:t>
            </w:r>
            <w:proofErr w:type="gramEnd"/>
            <w:r>
              <w:t xml:space="preserve"> d’assurance acquittées</w:t>
            </w:r>
          </w:p>
        </w:tc>
        <w:tc>
          <w:tcPr>
            <w:tcW w:w="1913" w:type="dxa"/>
          </w:tcPr>
          <w:p w14:paraId="2D60F1EC" w14:textId="77777777" w:rsidR="00335924" w:rsidRDefault="008D393B">
            <w:pPr>
              <w:pStyle w:val="table-f"/>
              <w:tabs>
                <w:tab w:val="left" w:leader="dot" w:pos="1200"/>
              </w:tabs>
            </w:pPr>
            <w:r>
              <w:tab/>
              <w:t xml:space="preserve"> $</w:t>
            </w:r>
          </w:p>
        </w:tc>
      </w:tr>
      <w:tr w:rsidR="00335924" w14:paraId="6BD55D18" w14:textId="77777777">
        <w:tc>
          <w:tcPr>
            <w:tcW w:w="600" w:type="dxa"/>
          </w:tcPr>
          <w:p w14:paraId="243A3FD4" w14:textId="77777777" w:rsidR="00335924" w:rsidRDefault="008D393B">
            <w:pPr>
              <w:pStyle w:val="table-f"/>
            </w:pPr>
            <w:r>
              <w:t>d)</w:t>
            </w:r>
          </w:p>
        </w:tc>
        <w:tc>
          <w:tcPr>
            <w:tcW w:w="7330" w:type="dxa"/>
            <w:gridSpan w:val="2"/>
          </w:tcPr>
          <w:p w14:paraId="69AF7138" w14:textId="77777777" w:rsidR="00335924" w:rsidRDefault="008D393B">
            <w:pPr>
              <w:pStyle w:val="table-f"/>
            </w:pPr>
            <w:proofErr w:type="gramStart"/>
            <w:r>
              <w:t>frais</w:t>
            </w:r>
            <w:proofErr w:type="gramEnd"/>
            <w:r>
              <w:t xml:space="preserve"> d’entretien acquittés</w:t>
            </w:r>
          </w:p>
        </w:tc>
        <w:tc>
          <w:tcPr>
            <w:tcW w:w="1913" w:type="dxa"/>
          </w:tcPr>
          <w:p w14:paraId="0A975CF2" w14:textId="77777777" w:rsidR="00335924" w:rsidRDefault="008D393B">
            <w:pPr>
              <w:pStyle w:val="table-f"/>
              <w:tabs>
                <w:tab w:val="left" w:leader="dot" w:pos="1200"/>
              </w:tabs>
            </w:pPr>
            <w:r>
              <w:tab/>
              <w:t xml:space="preserve"> $</w:t>
            </w:r>
          </w:p>
        </w:tc>
      </w:tr>
      <w:tr w:rsidR="00335924" w14:paraId="32D0B812" w14:textId="77777777">
        <w:tc>
          <w:tcPr>
            <w:tcW w:w="600" w:type="dxa"/>
          </w:tcPr>
          <w:p w14:paraId="73614FDC" w14:textId="77777777" w:rsidR="00335924" w:rsidRDefault="008D393B">
            <w:pPr>
              <w:pStyle w:val="table-f"/>
            </w:pPr>
            <w:proofErr w:type="gramStart"/>
            <w:r>
              <w:t>e</w:t>
            </w:r>
            <w:proofErr w:type="gramEnd"/>
            <w:r>
              <w:t>)</w:t>
            </w:r>
          </w:p>
        </w:tc>
        <w:tc>
          <w:tcPr>
            <w:tcW w:w="7330" w:type="dxa"/>
            <w:gridSpan w:val="2"/>
          </w:tcPr>
          <w:p w14:paraId="7741ABB8" w14:textId="77777777" w:rsidR="00335924" w:rsidRDefault="008D393B">
            <w:pPr>
              <w:pStyle w:val="table-f"/>
            </w:pPr>
            <w:proofErr w:type="gramStart"/>
            <w:r>
              <w:t>dépenses</w:t>
            </w:r>
            <w:proofErr w:type="gramEnd"/>
            <w:r>
              <w:t xml:space="preserve"> de chauffage acquittées</w:t>
            </w:r>
          </w:p>
        </w:tc>
        <w:tc>
          <w:tcPr>
            <w:tcW w:w="1913" w:type="dxa"/>
          </w:tcPr>
          <w:p w14:paraId="2D65BB57" w14:textId="77777777" w:rsidR="00335924" w:rsidRDefault="008D393B">
            <w:pPr>
              <w:pStyle w:val="table-f"/>
              <w:tabs>
                <w:tab w:val="left" w:leader="dot" w:pos="1200"/>
              </w:tabs>
            </w:pPr>
            <w:r>
              <w:tab/>
              <w:t xml:space="preserve"> $</w:t>
            </w:r>
          </w:p>
        </w:tc>
      </w:tr>
      <w:tr w:rsidR="00335924" w14:paraId="3B93D9E2" w14:textId="77777777">
        <w:tc>
          <w:tcPr>
            <w:tcW w:w="600" w:type="dxa"/>
          </w:tcPr>
          <w:p w14:paraId="0C325E9D" w14:textId="77777777" w:rsidR="00335924" w:rsidRDefault="008D393B">
            <w:pPr>
              <w:pStyle w:val="table-f"/>
            </w:pPr>
            <w:proofErr w:type="gramStart"/>
            <w:r>
              <w:t>f</w:t>
            </w:r>
            <w:proofErr w:type="gramEnd"/>
            <w:r>
              <w:t>)</w:t>
            </w:r>
          </w:p>
        </w:tc>
        <w:tc>
          <w:tcPr>
            <w:tcW w:w="7330" w:type="dxa"/>
            <w:gridSpan w:val="2"/>
          </w:tcPr>
          <w:p w14:paraId="036458DF" w14:textId="77777777" w:rsidR="00335924" w:rsidRDefault="008D393B">
            <w:pPr>
              <w:pStyle w:val="table-f"/>
              <w:rPr>
                <w:i/>
              </w:rPr>
            </w:pPr>
            <w:proofErr w:type="gramStart"/>
            <w:r>
              <w:t>services</w:t>
            </w:r>
            <w:proofErr w:type="gramEnd"/>
            <w:r>
              <w:t xml:space="preserve"> publics acquittés </w:t>
            </w:r>
            <w:r>
              <w:rPr>
                <w:i/>
              </w:rPr>
              <w:t>(ajouter les autres frais de la même façon)</w:t>
            </w:r>
          </w:p>
        </w:tc>
        <w:tc>
          <w:tcPr>
            <w:tcW w:w="1913" w:type="dxa"/>
          </w:tcPr>
          <w:p w14:paraId="3BB22074" w14:textId="77777777" w:rsidR="00335924" w:rsidRDefault="008D393B">
            <w:pPr>
              <w:pStyle w:val="table-f"/>
              <w:tabs>
                <w:tab w:val="left" w:leader="dot" w:pos="1200"/>
              </w:tabs>
            </w:pPr>
            <w:r>
              <w:tab/>
              <w:t xml:space="preserve"> $</w:t>
            </w:r>
          </w:p>
        </w:tc>
      </w:tr>
      <w:tr w:rsidR="00335924" w14:paraId="0CD5554A" w14:textId="77777777">
        <w:tc>
          <w:tcPr>
            <w:tcW w:w="600" w:type="dxa"/>
          </w:tcPr>
          <w:p w14:paraId="321A817A" w14:textId="77777777" w:rsidR="00335924" w:rsidRDefault="008D393B">
            <w:pPr>
              <w:pStyle w:val="table-f"/>
            </w:pPr>
            <w:proofErr w:type="gramStart"/>
            <w:r>
              <w:t>g</w:t>
            </w:r>
            <w:proofErr w:type="gramEnd"/>
            <w:r>
              <w:t>)</w:t>
            </w:r>
          </w:p>
        </w:tc>
        <w:tc>
          <w:tcPr>
            <w:tcW w:w="7330" w:type="dxa"/>
            <w:gridSpan w:val="2"/>
          </w:tcPr>
          <w:p w14:paraId="3DE5FF03" w14:textId="77777777" w:rsidR="00335924" w:rsidRDefault="008D393B">
            <w:pPr>
              <w:pStyle w:val="table-f"/>
              <w:rPr>
                <w:i/>
              </w:rPr>
            </w:pPr>
            <w:proofErr w:type="gramStart"/>
            <w:r>
              <w:t>intérêts</w:t>
            </w:r>
            <w:proofErr w:type="gramEnd"/>
            <w:r>
              <w:t xml:space="preserve"> jusqu’au </w:t>
            </w:r>
            <w:r>
              <w:rPr>
                <w:i/>
              </w:rPr>
              <w:t>(date du jugement)</w:t>
            </w:r>
          </w:p>
        </w:tc>
        <w:tc>
          <w:tcPr>
            <w:tcW w:w="1913" w:type="dxa"/>
          </w:tcPr>
          <w:p w14:paraId="3B74D9D3" w14:textId="77777777" w:rsidR="00335924" w:rsidRDefault="008D393B">
            <w:pPr>
              <w:pStyle w:val="table-f"/>
              <w:tabs>
                <w:tab w:val="left" w:leader="dot" w:pos="1200"/>
              </w:tabs>
            </w:pPr>
            <w:r>
              <w:tab/>
              <w:t xml:space="preserve"> $</w:t>
            </w:r>
          </w:p>
        </w:tc>
      </w:tr>
      <w:tr w:rsidR="00335924" w14:paraId="5CC0A2E2" w14:textId="77777777">
        <w:tc>
          <w:tcPr>
            <w:tcW w:w="600" w:type="dxa"/>
          </w:tcPr>
          <w:p w14:paraId="6F359EFE" w14:textId="77777777" w:rsidR="00335924" w:rsidRDefault="008D393B">
            <w:pPr>
              <w:pStyle w:val="table-f"/>
            </w:pPr>
            <w:proofErr w:type="gramStart"/>
            <w:r>
              <w:t>h</w:t>
            </w:r>
            <w:proofErr w:type="gramEnd"/>
            <w:r>
              <w:t>)</w:t>
            </w:r>
          </w:p>
        </w:tc>
        <w:tc>
          <w:tcPr>
            <w:tcW w:w="7330" w:type="dxa"/>
            <w:gridSpan w:val="2"/>
          </w:tcPr>
          <w:p w14:paraId="77216F6E" w14:textId="77777777" w:rsidR="00335924" w:rsidRDefault="008D393B">
            <w:pPr>
              <w:pStyle w:val="table-f"/>
            </w:pPr>
            <w:proofErr w:type="gramStart"/>
            <w:r>
              <w:t>dépens</w:t>
            </w:r>
            <w:proofErr w:type="gramEnd"/>
            <w:r>
              <w:t xml:space="preserve"> de l’action</w:t>
            </w:r>
          </w:p>
        </w:tc>
        <w:tc>
          <w:tcPr>
            <w:tcW w:w="1913" w:type="dxa"/>
          </w:tcPr>
          <w:p w14:paraId="58BCC439" w14:textId="77777777" w:rsidR="00335924" w:rsidRDefault="008D393B">
            <w:pPr>
              <w:pStyle w:val="table-f"/>
              <w:tabs>
                <w:tab w:val="left" w:leader="dot" w:pos="1200"/>
              </w:tabs>
            </w:pPr>
            <w:r>
              <w:tab/>
              <w:t xml:space="preserve"> $</w:t>
            </w:r>
          </w:p>
        </w:tc>
      </w:tr>
      <w:tr w:rsidR="00335924" w14:paraId="612545EA" w14:textId="77777777">
        <w:tc>
          <w:tcPr>
            <w:tcW w:w="600" w:type="dxa"/>
          </w:tcPr>
          <w:p w14:paraId="6535B2AF" w14:textId="77777777" w:rsidR="00335924" w:rsidRDefault="008D393B">
            <w:pPr>
              <w:pStyle w:val="table-f"/>
            </w:pPr>
            <w:r>
              <w:t>i)</w:t>
            </w:r>
          </w:p>
        </w:tc>
        <w:tc>
          <w:tcPr>
            <w:tcW w:w="7330" w:type="dxa"/>
            <w:gridSpan w:val="2"/>
          </w:tcPr>
          <w:p w14:paraId="5814C3B5" w14:textId="77777777" w:rsidR="00335924" w:rsidRDefault="008D393B">
            <w:pPr>
              <w:pStyle w:val="table-f"/>
              <w:tabs>
                <w:tab w:val="left" w:leader="dot" w:pos="5040"/>
              </w:tabs>
            </w:pPr>
            <w:proofErr w:type="gramStart"/>
            <w:r>
              <w:t>intérêts</w:t>
            </w:r>
            <w:proofErr w:type="gramEnd"/>
            <w:r>
              <w:t xml:space="preserve"> postérieurs sur le principal au taux annuel de </w:t>
            </w:r>
            <w:r>
              <w:tab/>
              <w:t xml:space="preserve"> pour cent jusqu’au jour fixé pour le paiement</w:t>
            </w:r>
          </w:p>
        </w:tc>
        <w:tc>
          <w:tcPr>
            <w:tcW w:w="1913" w:type="dxa"/>
          </w:tcPr>
          <w:p w14:paraId="2FA4D251" w14:textId="77777777" w:rsidR="00335924" w:rsidRDefault="008D393B">
            <w:pPr>
              <w:pStyle w:val="table-f"/>
              <w:tabs>
                <w:tab w:val="left" w:leader="dot" w:pos="1200"/>
              </w:tabs>
            </w:pPr>
            <w:r>
              <w:br/>
            </w:r>
            <w:r>
              <w:tab/>
              <w:t xml:space="preserve"> $</w:t>
            </w:r>
          </w:p>
        </w:tc>
      </w:tr>
      <w:tr w:rsidR="00335924" w14:paraId="0D431C5B" w14:textId="77777777">
        <w:tc>
          <w:tcPr>
            <w:tcW w:w="7920" w:type="dxa"/>
            <w:gridSpan w:val="2"/>
          </w:tcPr>
          <w:p w14:paraId="6DF80FB3" w14:textId="77777777" w:rsidR="00335924" w:rsidRDefault="008D393B">
            <w:pPr>
              <w:pStyle w:val="table-f"/>
              <w:rPr>
                <w:i/>
              </w:rPr>
            </w:pPr>
            <w:r>
              <w:tab/>
              <w:t xml:space="preserve">Montant total dû au </w:t>
            </w:r>
            <w:r>
              <w:rPr>
                <w:i/>
              </w:rPr>
              <w:t>(date de rachat)</w:t>
            </w:r>
          </w:p>
        </w:tc>
        <w:tc>
          <w:tcPr>
            <w:tcW w:w="1923" w:type="dxa"/>
            <w:gridSpan w:val="2"/>
          </w:tcPr>
          <w:p w14:paraId="607F433B" w14:textId="77777777" w:rsidR="00335924" w:rsidRDefault="008D393B">
            <w:pPr>
              <w:pStyle w:val="table-f"/>
              <w:tabs>
                <w:tab w:val="left" w:leader="dot" w:pos="1200"/>
              </w:tabs>
            </w:pPr>
            <w:r>
              <w:tab/>
              <w:t xml:space="preserve"> $</w:t>
            </w:r>
          </w:p>
        </w:tc>
      </w:tr>
    </w:tbl>
    <w:p w14:paraId="62A39471" w14:textId="77777777" w:rsidR="00335924" w:rsidRDefault="00335924">
      <w:pPr>
        <w:spacing w:line="115" w:lineRule="exact"/>
        <w:rPr>
          <w:snapToGrid w:val="0"/>
          <w:lang w:val="fr-CA"/>
        </w:rPr>
      </w:pPr>
    </w:p>
    <w:p w14:paraId="38829489" w14:textId="77777777" w:rsidR="00335924" w:rsidRDefault="008D393B">
      <w:pPr>
        <w:pStyle w:val="zparawtab-f"/>
      </w:pPr>
      <w:r>
        <w:t>2.</w:t>
      </w:r>
      <w:r>
        <w:tab/>
      </w:r>
      <w:r>
        <w:tab/>
        <w:t>IL EST ORDONNÉ ET JUGÉ :</w:t>
      </w:r>
    </w:p>
    <w:p w14:paraId="04890B50" w14:textId="77777777" w:rsidR="00335924" w:rsidRDefault="008D393B">
      <w:pPr>
        <w:pStyle w:val="zparagraph-f"/>
        <w:tabs>
          <w:tab w:val="left" w:leader="dot" w:pos="5760"/>
        </w:tabs>
      </w:pPr>
      <w:r>
        <w:tab/>
        <w:t>a)</w:t>
      </w:r>
      <w:r>
        <w:tab/>
        <w:t xml:space="preserve">soit après le dépôt de la somme de </w:t>
      </w:r>
      <w:r>
        <w:tab/>
        <w:t xml:space="preserve"> $ </w:t>
      </w:r>
      <w:r>
        <w:rPr>
          <w:i/>
        </w:rPr>
        <w:t>(montant total dû conformément à la disposition 1)</w:t>
      </w:r>
      <w:r>
        <w:t xml:space="preserve"> auprès de</w:t>
      </w:r>
      <w:r>
        <w:rPr>
          <w:i/>
        </w:rPr>
        <w:t xml:space="preserve"> (dénomination sociale de l’établissement financier)</w:t>
      </w:r>
      <w:r>
        <w:t xml:space="preserve"> à/au </w:t>
      </w:r>
      <w:r>
        <w:rPr>
          <w:i/>
        </w:rPr>
        <w:t>(adresse),</w:t>
      </w:r>
      <w:r>
        <w:t xml:space="preserve"> au crédit commun du demandeur et du Comptable de la Cour supérieure de justice </w:t>
      </w:r>
      <w:r>
        <w:rPr>
          <w:i/>
        </w:rPr>
        <w:t xml:space="preserve">(ou </w:t>
      </w:r>
      <w:r>
        <w:t>du greffier local</w:t>
      </w:r>
      <w:r>
        <w:rPr>
          <w:i/>
        </w:rPr>
        <w:t>)</w:t>
      </w:r>
      <w:r>
        <w:t>;</w:t>
      </w:r>
    </w:p>
    <w:p w14:paraId="1883B0BD" w14:textId="77777777" w:rsidR="00335924" w:rsidRDefault="008D393B">
      <w:pPr>
        <w:pStyle w:val="zparagraph-f"/>
      </w:pPr>
      <w:r>
        <w:tab/>
        <w:t>b)</w:t>
      </w:r>
      <w:r>
        <w:tab/>
        <w:t>soit après le recouvrement par le demandeur du montant dû conformément à la disposition 6 du présent jugement, ainsi que des intérêts postérieurs au jugement,</w:t>
      </w:r>
    </w:p>
    <w:p w14:paraId="0F2010BD" w14:textId="77777777" w:rsidR="00335924" w:rsidRDefault="008D393B">
      <w:pPr>
        <w:pStyle w:val="zparagraph-f"/>
        <w:tabs>
          <w:tab w:val="left" w:leader="dot" w:pos="5760"/>
        </w:tabs>
        <w:rPr>
          <w:i/>
        </w:rPr>
      </w:pPr>
      <w:r>
        <w:tab/>
      </w:r>
      <w:r>
        <w:tab/>
      </w:r>
      <w:proofErr w:type="gramStart"/>
      <w:r>
        <w:t>qu’au</w:t>
      </w:r>
      <w:proofErr w:type="gramEnd"/>
      <w:r>
        <w:t xml:space="preserve"> plus tard le </w:t>
      </w:r>
      <w:r>
        <w:rPr>
          <w:i/>
        </w:rPr>
        <w:t>(date de rachat),</w:t>
      </w:r>
      <w:r>
        <w:t xml:space="preserve"> le demandeur cède le bien hypothéqué décrit dans l’annexe ci-jointe au défendeur</w:t>
      </w:r>
      <w:r>
        <w:rPr>
          <w:i/>
        </w:rPr>
        <w:t xml:space="preserve"> (nom)</w:t>
      </w:r>
      <w:r>
        <w:t xml:space="preserve"> ou se conforme aux directives de ce dernier, aux termes de l’article 2 de la </w:t>
      </w:r>
      <w:r>
        <w:rPr>
          <w:i/>
        </w:rPr>
        <w:t>Loi sur les hypothèques</w:t>
      </w:r>
      <w:r>
        <w:t xml:space="preserve">, et remette tous les documents qui se rapportent au bien hypothéqué.  L’hypothèque est datée du </w:t>
      </w:r>
      <w:r>
        <w:tab/>
        <w:t xml:space="preserve">, conclue entre </w:t>
      </w:r>
      <w:r>
        <w:rPr>
          <w:i/>
        </w:rPr>
        <w:t>(nom du débiteur hypothécaire)</w:t>
      </w:r>
      <w:r>
        <w:t xml:space="preserve"> et </w:t>
      </w:r>
      <w:r>
        <w:rPr>
          <w:i/>
        </w:rPr>
        <w:t xml:space="preserve">(nom du créancier hypothécaire) </w:t>
      </w:r>
      <w:r>
        <w:t xml:space="preserve">et enregistrée </w:t>
      </w:r>
      <w:r>
        <w:rPr>
          <w:i/>
        </w:rPr>
        <w:t>(donner les détails de l’enregistrement et, le cas échéant, de la cession de l’hypothèque).</w:t>
      </w:r>
    </w:p>
    <w:p w14:paraId="5C2EE079" w14:textId="77777777" w:rsidR="00335924" w:rsidRDefault="008D393B">
      <w:pPr>
        <w:pStyle w:val="zparagraph-f"/>
        <w:rPr>
          <w:i/>
        </w:rPr>
      </w:pPr>
      <w:r>
        <w:rPr>
          <w:i/>
        </w:rPr>
        <w:t>(Enlever l’alinéa b) si le jugement n’ordonne pas le paiement de la dette hypothécaire.)</w:t>
      </w:r>
    </w:p>
    <w:p w14:paraId="0D667C8B" w14:textId="77777777" w:rsidR="00335924" w:rsidRDefault="008D393B">
      <w:pPr>
        <w:pStyle w:val="zparanoindt-f"/>
        <w:rPr>
          <w:i/>
          <w:iCs/>
        </w:rPr>
      </w:pPr>
      <w:r>
        <w:rPr>
          <w:i/>
          <w:iCs/>
        </w:rPr>
        <w:t>(Si plus d’une partie a le droit de racheter le bien hypothéqué, ajouter :)</w:t>
      </w:r>
    </w:p>
    <w:p w14:paraId="2FC49A44" w14:textId="77777777" w:rsidR="00335924" w:rsidRDefault="008D393B">
      <w:pPr>
        <w:pStyle w:val="zparawtab-f"/>
      </w:pPr>
      <w:r>
        <w:t>3.</w:t>
      </w:r>
      <w:r>
        <w:tab/>
      </w:r>
      <w:r>
        <w:tab/>
        <w:t xml:space="preserve">IL EST ORDONNÉ ET JUGÉ que le défendeur </w:t>
      </w:r>
      <w:r>
        <w:rPr>
          <w:i/>
        </w:rPr>
        <w:t>(nom du titulaire de la sûreté)</w:t>
      </w:r>
      <w:r>
        <w:t xml:space="preserve"> ait le premier droit de rachat et que le défendeur </w:t>
      </w:r>
      <w:r>
        <w:rPr>
          <w:i/>
        </w:rPr>
        <w:t>(nom)</w:t>
      </w:r>
      <w:r>
        <w:t xml:space="preserve"> ait le deuxième droit de rachat </w:t>
      </w:r>
      <w:r>
        <w:rPr>
          <w:i/>
        </w:rPr>
        <w:t>(et ainsi de suite)</w:t>
      </w:r>
      <w:r>
        <w:t xml:space="preserve"> et que le défendeur </w:t>
      </w:r>
      <w:r>
        <w:rPr>
          <w:i/>
        </w:rPr>
        <w:t>(nom du propriétaire du droit de rachat)</w:t>
      </w:r>
      <w:r>
        <w:t xml:space="preserve"> ait le dernier droit de rachat.</w:t>
      </w:r>
    </w:p>
    <w:p w14:paraId="245EFE44" w14:textId="77777777" w:rsidR="00335924" w:rsidRDefault="008D393B">
      <w:pPr>
        <w:pStyle w:val="zparanoindt-f"/>
        <w:rPr>
          <w:i/>
          <w:iCs/>
        </w:rPr>
      </w:pPr>
      <w:r>
        <w:rPr>
          <w:i/>
          <w:iCs/>
        </w:rPr>
        <w:t>(Forclusion en cas de défaut de payer)</w:t>
      </w:r>
    </w:p>
    <w:p w14:paraId="6B4D4F31" w14:textId="77777777" w:rsidR="00335924" w:rsidRDefault="008D393B">
      <w:pPr>
        <w:pStyle w:val="zparawtab-f"/>
      </w:pPr>
      <w:r>
        <w:t>4.</w:t>
      </w:r>
      <w:r>
        <w:tab/>
      </w:r>
      <w:r>
        <w:tab/>
        <w:t>IL EST ORDONNÉ ET JUGÉ qu’à défaut par le(s) défendeur(s) titulaire(s) d’un droit de propriété et d’un droit de rachat sur le bien hypothéqué décrit dans l’annexe ci-jointe de payer la somme exigée à la disposition 2, le(s) défendeur(s) soit (soient) forclos d’exercer ces droits.</w:t>
      </w:r>
    </w:p>
    <w:p w14:paraId="0FE3F880" w14:textId="77777777" w:rsidR="00335924" w:rsidRDefault="008D393B">
      <w:pPr>
        <w:pStyle w:val="zparanoindt-f"/>
        <w:rPr>
          <w:i/>
          <w:iCs/>
        </w:rPr>
      </w:pPr>
      <w:r>
        <w:rPr>
          <w:i/>
          <w:iCs/>
        </w:rPr>
        <w:t>(Si le jugement ordonne la mise en possession du bien hypothéqué, ajouter :)</w:t>
      </w:r>
    </w:p>
    <w:p w14:paraId="37C0F6FB" w14:textId="77777777" w:rsidR="00335924" w:rsidRDefault="008D393B">
      <w:pPr>
        <w:pStyle w:val="zparawtab-f"/>
      </w:pPr>
      <w:r>
        <w:t>5.</w:t>
      </w:r>
      <w:r>
        <w:tab/>
      </w:r>
      <w:r>
        <w:tab/>
        <w:t xml:space="preserve">IL EST ORDONNÉ ET JUGÉ que le défendeur </w:t>
      </w:r>
      <w:r>
        <w:rPr>
          <w:i/>
        </w:rPr>
        <w:t>(nom)</w:t>
      </w:r>
      <w:r>
        <w:t xml:space="preserve"> restitue sans délai au demandeur le bien hypothéqué ou la partie de ce bien qu’il possède, ou se conforme aux directives de ce dernier.</w:t>
      </w:r>
    </w:p>
    <w:p w14:paraId="00CFC2AB" w14:textId="77777777" w:rsidR="00335924" w:rsidRDefault="008D393B">
      <w:pPr>
        <w:pStyle w:val="zparanoindt-f"/>
        <w:rPr>
          <w:i/>
          <w:iCs/>
        </w:rPr>
      </w:pPr>
      <w:r>
        <w:rPr>
          <w:i/>
          <w:iCs/>
        </w:rPr>
        <w:t>(Si le jugement ordonne le paiement de la dette hypothécaire, ajouter les deux dispositions suivantes :)</w:t>
      </w:r>
    </w:p>
    <w:p w14:paraId="3D6BD889" w14:textId="77777777" w:rsidR="00335924" w:rsidRDefault="008D393B">
      <w:pPr>
        <w:pStyle w:val="zparawtab-f"/>
        <w:tabs>
          <w:tab w:val="left" w:leader="dot" w:pos="8369"/>
        </w:tabs>
      </w:pPr>
      <w:r>
        <w:t>6.</w:t>
      </w:r>
      <w:r>
        <w:tab/>
      </w:r>
      <w:r>
        <w:tab/>
        <w:t xml:space="preserve">IL EST ORDONNÉ ET JUGÉ que le défendeur </w:t>
      </w:r>
      <w:r>
        <w:rPr>
          <w:i/>
        </w:rPr>
        <w:t>(nom)</w:t>
      </w:r>
      <w:r>
        <w:t xml:space="preserve"> verse sans délai au demandeur la somme de </w:t>
      </w:r>
      <w:r>
        <w:tab/>
        <w:t xml:space="preserve"> $, qui constitue le montant dû à ce jour au demandeur à titre de principal, d’intérêts et de dépens.</w:t>
      </w:r>
    </w:p>
    <w:p w14:paraId="6D5EE55F" w14:textId="77777777" w:rsidR="00335924" w:rsidRDefault="008D393B">
      <w:pPr>
        <w:pStyle w:val="zparawtab-f"/>
        <w:tabs>
          <w:tab w:val="left" w:leader="dot" w:pos="5978"/>
        </w:tabs>
      </w:pPr>
      <w:r>
        <w:tab/>
        <w:t>LE PRÉSENT JUGEMENT PORTE INTÉR</w:t>
      </w:r>
      <w:r>
        <w:rPr>
          <w:caps/>
        </w:rPr>
        <w:t>ê</w:t>
      </w:r>
      <w:r>
        <w:t>T au taux annuel de</w:t>
      </w:r>
      <w:r>
        <w:tab/>
        <w:t xml:space="preserve">pour cent </w:t>
      </w:r>
      <w:r>
        <w:rPr>
          <w:i/>
        </w:rPr>
        <w:t>(taux demandé dans la déclaration)</w:t>
      </w:r>
      <w:r>
        <w:t xml:space="preserve"> à partir de la date à laquelle il est rendu.</w:t>
      </w:r>
    </w:p>
    <w:p w14:paraId="6C925E80" w14:textId="77777777" w:rsidR="00335924" w:rsidRDefault="008D393B">
      <w:pPr>
        <w:pStyle w:val="table-e"/>
        <w:tabs>
          <w:tab w:val="left" w:pos="5040"/>
        </w:tabs>
        <w:spacing w:before="240"/>
        <w:rPr>
          <w:lang w:val="fr-CA"/>
        </w:rPr>
      </w:pPr>
      <w:proofErr w:type="gramStart"/>
      <w:r>
        <w:rPr>
          <w:lang w:val="fr-CA"/>
        </w:rPr>
        <w:t>date</w:t>
      </w:r>
      <w:proofErr w:type="gramEnd"/>
      <w:r>
        <w:rPr>
          <w:lang w:val="fr-CA"/>
        </w:rPr>
        <w:t xml:space="preserve"> ...........................................................................</w:t>
      </w:r>
      <w:r>
        <w:rPr>
          <w:lang w:val="fr-CA"/>
        </w:rPr>
        <w:tab/>
      </w:r>
      <w:proofErr w:type="gramStart"/>
      <w:r>
        <w:rPr>
          <w:lang w:val="fr-CA"/>
        </w:rPr>
        <w:t>délivrée</w:t>
      </w:r>
      <w:proofErr w:type="gramEnd"/>
      <w:r>
        <w:rPr>
          <w:lang w:val="fr-CA"/>
        </w:rPr>
        <w:t xml:space="preserve"> par ......................................................................</w:t>
      </w:r>
    </w:p>
    <w:p w14:paraId="46405168" w14:textId="77777777" w:rsidR="00335924" w:rsidRDefault="008D393B">
      <w:pPr>
        <w:pStyle w:val="table-e"/>
        <w:tabs>
          <w:tab w:val="left" w:pos="6840"/>
        </w:tabs>
        <w:rPr>
          <w:lang w:val="fr-CA"/>
        </w:rPr>
      </w:pPr>
      <w:r>
        <w:rPr>
          <w:lang w:val="fr-CA"/>
        </w:rPr>
        <w:lastRenderedPageBreak/>
        <w:tab/>
      </w:r>
      <w:proofErr w:type="gramStart"/>
      <w:r>
        <w:rPr>
          <w:lang w:val="fr-CA"/>
        </w:rPr>
        <w:t>greffier</w:t>
      </w:r>
      <w:proofErr w:type="gramEnd"/>
      <w:r>
        <w:rPr>
          <w:lang w:val="fr-CA"/>
        </w:rPr>
        <w:t xml:space="preserve"> local</w:t>
      </w:r>
    </w:p>
    <w:p w14:paraId="2C7FD4D4" w14:textId="77777777" w:rsidR="00335924" w:rsidRDefault="008D393B">
      <w:pPr>
        <w:pStyle w:val="table-e"/>
        <w:tabs>
          <w:tab w:val="left" w:pos="5040"/>
        </w:tabs>
        <w:rPr>
          <w:lang w:val="fr-CA"/>
        </w:rPr>
      </w:pPr>
      <w:r>
        <w:rPr>
          <w:lang w:val="fr-CA"/>
        </w:rPr>
        <w:tab/>
      </w:r>
      <w:proofErr w:type="gramStart"/>
      <w:r>
        <w:rPr>
          <w:lang w:val="fr-CA"/>
        </w:rPr>
        <w:t>adresse</w:t>
      </w:r>
      <w:proofErr w:type="gramEnd"/>
      <w:r>
        <w:rPr>
          <w:lang w:val="fr-CA"/>
        </w:rPr>
        <w:t xml:space="preserve"> du</w:t>
      </w:r>
    </w:p>
    <w:p w14:paraId="3F149EE2" w14:textId="77777777" w:rsidR="00335924" w:rsidRDefault="008D393B">
      <w:pPr>
        <w:pStyle w:val="table-e"/>
        <w:tabs>
          <w:tab w:val="left" w:pos="5040"/>
        </w:tabs>
        <w:rPr>
          <w:lang w:val="fr-CA"/>
        </w:rPr>
      </w:pPr>
      <w:r>
        <w:rPr>
          <w:lang w:val="fr-CA"/>
        </w:rPr>
        <w:tab/>
      </w:r>
      <w:proofErr w:type="gramStart"/>
      <w:r>
        <w:rPr>
          <w:lang w:val="fr-CA"/>
        </w:rPr>
        <w:t>greffe</w:t>
      </w:r>
      <w:proofErr w:type="gramEnd"/>
      <w:r>
        <w:rPr>
          <w:lang w:val="fr-CA"/>
        </w:rPr>
        <w:t xml:space="preserve">      ...........................................................................</w:t>
      </w:r>
    </w:p>
    <w:p w14:paraId="15202416" w14:textId="77777777" w:rsidR="00335924" w:rsidRDefault="00335924">
      <w:pPr>
        <w:pStyle w:val="table-e"/>
        <w:rPr>
          <w:lang w:val="fr-CA"/>
        </w:rPr>
      </w:pPr>
    </w:p>
    <w:p w14:paraId="0D152D9F" w14:textId="77777777" w:rsidR="00335924" w:rsidRDefault="008D393B">
      <w:pPr>
        <w:pStyle w:val="table-e"/>
        <w:tabs>
          <w:tab w:val="left" w:pos="5913"/>
        </w:tabs>
        <w:rPr>
          <w:lang w:val="fr-CA"/>
        </w:rPr>
      </w:pPr>
      <w:r>
        <w:rPr>
          <w:lang w:val="fr-CA"/>
        </w:rPr>
        <w:tab/>
        <w:t>.......................................................................</w:t>
      </w:r>
    </w:p>
    <w:p w14:paraId="0083E723" w14:textId="77777777" w:rsidR="00335924" w:rsidRDefault="00335924">
      <w:pPr>
        <w:spacing w:line="239" w:lineRule="exact"/>
        <w:rPr>
          <w:snapToGrid w:val="0"/>
          <w:lang w:val="fr-CA"/>
        </w:rPr>
      </w:pPr>
    </w:p>
    <w:p w14:paraId="5F46C9EF" w14:textId="77777777" w:rsidR="00335924" w:rsidRDefault="008D393B">
      <w:pPr>
        <w:pStyle w:val="zparanoindt-f"/>
        <w:rPr>
          <w:i/>
          <w:iCs/>
        </w:rPr>
      </w:pPr>
      <w:r>
        <w:rPr>
          <w:i/>
          <w:iCs/>
        </w:rPr>
        <w:t>(La description du bien hypothéqué dans l’annexe ci-jointe doit être la même que celle qui se trouve dans la déclaration.)</w:t>
      </w:r>
    </w:p>
    <w:p w14:paraId="39BDB3B6" w14:textId="77777777" w:rsidR="00335924" w:rsidRDefault="008D393B">
      <w:pPr>
        <w:pStyle w:val="footnote-f"/>
      </w:pPr>
      <w:r>
        <w:t>RCP-F 64D (1</w:t>
      </w:r>
      <w:r>
        <w:rPr>
          <w:vertAlign w:val="superscript"/>
        </w:rPr>
        <w:t>er</w:t>
      </w:r>
      <w:r>
        <w:t xml:space="preserve"> juillet 2007)</w:t>
      </w:r>
    </w:p>
    <w:sectPr w:rsidR="00335924">
      <w:headerReference w:type="default" r:id="rId6"/>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BF842" w14:textId="77777777" w:rsidR="008D393B" w:rsidRDefault="008D393B" w:rsidP="008D393B">
      <w:r>
        <w:separator/>
      </w:r>
    </w:p>
  </w:endnote>
  <w:endnote w:type="continuationSeparator" w:id="0">
    <w:p w14:paraId="5445ED1C" w14:textId="77777777" w:rsidR="008D393B" w:rsidRDefault="008D393B" w:rsidP="008D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A836C" w14:textId="77777777" w:rsidR="008D393B" w:rsidRDefault="008D393B" w:rsidP="008D393B">
      <w:r>
        <w:separator/>
      </w:r>
    </w:p>
  </w:footnote>
  <w:footnote w:type="continuationSeparator" w:id="0">
    <w:p w14:paraId="1FA5C110" w14:textId="77777777" w:rsidR="008D393B" w:rsidRDefault="008D393B" w:rsidP="008D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D552" w14:textId="1C416923" w:rsidR="005D5C5A" w:rsidRDefault="005D5C5A" w:rsidP="005D5C5A">
    <w:pPr>
      <w:pStyle w:val="Header"/>
      <w:jc w:val="center"/>
    </w:pPr>
  </w:p>
  <w:p w14:paraId="146B3670" w14:textId="77777777" w:rsidR="005D5C5A" w:rsidRDefault="005D5C5A" w:rsidP="005D5C5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393B"/>
    <w:rsid w:val="00335924"/>
    <w:rsid w:val="00564665"/>
    <w:rsid w:val="005D5C5A"/>
    <w:rsid w:val="008D39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C1DA8"/>
  <w15:chartTrackingRefBased/>
  <w15:docId w15:val="{226CECDD-5106-436F-9859-0290360A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graph-f">
    <w:name w:val="zparagraph-f"/>
    <w:pPr>
      <w:tabs>
        <w:tab w:val="right" w:pos="379"/>
        <w:tab w:val="left" w:pos="472"/>
      </w:tabs>
      <w:spacing w:after="139" w:line="190" w:lineRule="exact"/>
      <w:ind w:left="472" w:hanging="472"/>
      <w:jc w:val="both"/>
    </w:pPr>
    <w:rPr>
      <w:rFonts w:ascii="Times" w:hAnsi="Time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customStyle="1" w:styleId="table-e">
    <w:name w:val="table-e"/>
    <w:pPr>
      <w:suppressAutoHyphens/>
      <w:spacing w:before="11" w:line="189" w:lineRule="exact"/>
    </w:pPr>
    <w:rPr>
      <w:snapToGrid w:val="0"/>
      <w:sz w:val="18"/>
      <w:lang w:val="en-GB" w:eastAsia="en-U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5D5C5A"/>
    <w:pPr>
      <w:tabs>
        <w:tab w:val="center" w:pos="4680"/>
        <w:tab w:val="right" w:pos="9360"/>
      </w:tabs>
    </w:pPr>
  </w:style>
  <w:style w:type="character" w:customStyle="1" w:styleId="HeaderChar">
    <w:name w:val="Header Char"/>
    <w:basedOn w:val="DefaultParagraphFont"/>
    <w:link w:val="Header"/>
    <w:uiPriority w:val="99"/>
    <w:rsid w:val="005D5C5A"/>
    <w:rPr>
      <w:sz w:val="24"/>
      <w:szCs w:val="24"/>
      <w:lang w:eastAsia="en-US"/>
    </w:rPr>
  </w:style>
  <w:style w:type="paragraph" w:styleId="Footer">
    <w:name w:val="footer"/>
    <w:basedOn w:val="Normal"/>
    <w:link w:val="FooterChar"/>
    <w:uiPriority w:val="99"/>
    <w:unhideWhenUsed/>
    <w:rsid w:val="005D5C5A"/>
    <w:pPr>
      <w:tabs>
        <w:tab w:val="center" w:pos="4680"/>
        <w:tab w:val="right" w:pos="9360"/>
      </w:tabs>
    </w:pPr>
  </w:style>
  <w:style w:type="character" w:customStyle="1" w:styleId="FooterChar">
    <w:name w:val="Footer Char"/>
    <w:basedOn w:val="DefaultParagraphFont"/>
    <w:link w:val="Footer"/>
    <w:uiPriority w:val="99"/>
    <w:rsid w:val="005D5C5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Formule 64D Jugement de forclusion par défaut sans renvoi</vt:lpstr>
    </vt:vector>
  </TitlesOfParts>
  <Company>Gouvernement de l’Ontario</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64D Jugement de forclusion par défaut sans renvoi</dc:title>
  <dc:subject>RCP-F 64D (1er juillet 2007)</dc:subject>
  <dc:creator>Comité des règles en matière civile</dc:creator>
  <cp:keywords/>
  <dc:description/>
  <cp:lastModifiedBy>Schell, Denise (MAG)</cp:lastModifiedBy>
  <cp:revision>4</cp:revision>
  <cp:lastPrinted>2007-08-01T16:47:00Z</cp:lastPrinted>
  <dcterms:created xsi:type="dcterms:W3CDTF">2021-11-22T18:44:00Z</dcterms:created>
  <dcterms:modified xsi:type="dcterms:W3CDTF">2022-02-01T15:49:00Z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2021-11-22T18:44:16Z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eb3de2ff-551d-4ba7-99f7-b5215fab8dfb</vt:lpwstr>
  </property>
  <property fmtid="{D5CDD505-2E9C-101B-9397-08002B2CF9AE}" pid="8" name="MSIP_Label_034a106e-6316-442c-ad35-738afd673d2b_ContentBits">
    <vt:lpwstr>0</vt:lpwstr>
  </property>
</Properties>
</file>