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7E283" w14:textId="77777777" w:rsidR="00540181" w:rsidRDefault="00540181">
      <w:pPr>
        <w:pStyle w:val="form-f"/>
      </w:pPr>
      <w:r>
        <w:t>Formule 61I</w:t>
      </w:r>
    </w:p>
    <w:p w14:paraId="1BC9A790" w14:textId="77777777" w:rsidR="00540181" w:rsidRDefault="00540181">
      <w:pPr>
        <w:pStyle w:val="act-f"/>
      </w:pPr>
      <w:r>
        <w:t>Loi sur les tribunaux judiciaires</w:t>
      </w:r>
    </w:p>
    <w:p w14:paraId="222E0F6A" w14:textId="77777777" w:rsidR="00540181" w:rsidRDefault="00540181">
      <w:pPr>
        <w:pStyle w:val="subject-f"/>
      </w:pPr>
      <w:r>
        <w:t>ordonnance rejetant l’appel ou l’appel incident pour cause de retard</w:t>
      </w:r>
    </w:p>
    <w:p w14:paraId="5C120FA7" w14:textId="77777777" w:rsidR="00540181" w:rsidRDefault="00540181">
      <w:pPr>
        <w:pStyle w:val="zheading3-f"/>
        <w:spacing w:before="120"/>
        <w:rPr>
          <w:i/>
        </w:rPr>
      </w:pPr>
      <w:r>
        <w:rPr>
          <w:i/>
        </w:rPr>
        <w:t>(titre conformément à la formule 61B)</w:t>
      </w:r>
    </w:p>
    <w:p w14:paraId="3BEF51B6" w14:textId="77777777" w:rsidR="00540181" w:rsidRDefault="00540181">
      <w:pPr>
        <w:pStyle w:val="zheadingx-f"/>
      </w:pPr>
      <w:r>
        <w:t>ordonnance rejetant l’appel (</w:t>
      </w:r>
      <w:r>
        <w:rPr>
          <w:i/>
          <w:caps w:val="0"/>
        </w:rPr>
        <w:t>ou</w:t>
      </w:r>
      <w:r>
        <w:t xml:space="preserve"> l’appel incident)</w:t>
      </w:r>
    </w:p>
    <w:p w14:paraId="671E7700" w14:textId="77777777" w:rsidR="00540181" w:rsidRDefault="00540181">
      <w:pPr>
        <w:pStyle w:val="zparawtab-f"/>
      </w:pPr>
      <w:r>
        <w:tab/>
      </w:r>
      <w:r>
        <w:tab/>
        <w:t xml:space="preserve">L’appelant </w:t>
      </w:r>
      <w:r>
        <w:rPr>
          <w:i/>
        </w:rPr>
        <w:t xml:space="preserve">(ou </w:t>
      </w:r>
      <w:r>
        <w:t>l’intimé</w:t>
      </w:r>
      <w:r>
        <w:rPr>
          <w:i/>
        </w:rPr>
        <w:t>)</w:t>
      </w:r>
      <w:r>
        <w:t xml:space="preserve"> n’a pas </w:t>
      </w:r>
      <w:r>
        <w:rPr>
          <w:i/>
        </w:rPr>
        <w:t>(préciser le défaut de l’appelant ou de l’intimé en vertu de la règle 61.13)</w:t>
      </w:r>
      <w:r>
        <w:t xml:space="preserve"> et n’a pas remédié au </w:t>
      </w:r>
      <w:r w:rsidRPr="00745ED5">
        <w:t xml:space="preserve">défaut </w:t>
      </w:r>
      <w:r w:rsidR="00125034" w:rsidRPr="00745ED5">
        <w:t xml:space="preserve">bien que tout avis exigé par la règle </w:t>
      </w:r>
      <w:r w:rsidR="009A1893" w:rsidRPr="00745ED5">
        <w:t>61.13 lui ait été donn</w:t>
      </w:r>
      <w:r w:rsidR="00125034" w:rsidRPr="00745ED5">
        <w:t>é.</w:t>
      </w:r>
    </w:p>
    <w:p w14:paraId="16C82A92" w14:textId="77777777" w:rsidR="00540181" w:rsidRDefault="00540181">
      <w:pPr>
        <w:pStyle w:val="zparawtab-f"/>
        <w:spacing w:after="0"/>
      </w:pPr>
      <w:r>
        <w:tab/>
      </w:r>
      <w:r>
        <w:tab/>
        <w:t xml:space="preserve">IL EST ORDONNÉ que l'appel </w:t>
      </w:r>
      <w:r>
        <w:rPr>
          <w:i/>
        </w:rPr>
        <w:t>(ou</w:t>
      </w:r>
      <w:r>
        <w:t xml:space="preserve"> l'appel incident</w:t>
      </w:r>
      <w:r>
        <w:rPr>
          <w:i/>
        </w:rPr>
        <w:t>)</w:t>
      </w:r>
      <w:r>
        <w:t xml:space="preserve"> soit rejeté pour cause de retard, avec des dépens fix</w:t>
      </w:r>
      <w:r>
        <w:rPr>
          <w:rFonts w:cs="Times"/>
        </w:rPr>
        <w:t>é</w:t>
      </w:r>
      <w:r>
        <w:t xml:space="preserve">s </w:t>
      </w:r>
      <w:r>
        <w:rPr>
          <w:rFonts w:cs="Times"/>
        </w:rPr>
        <w:t>à 750 $, malgré la règle 58.13</w:t>
      </w:r>
      <w:r>
        <w:t>.</w:t>
      </w:r>
    </w:p>
    <w:p w14:paraId="1815E847" w14:textId="77777777" w:rsidR="00540181" w:rsidRDefault="00540181">
      <w:pPr>
        <w:spacing w:line="115" w:lineRule="exact"/>
        <w:rPr>
          <w:snapToGrid w:val="0"/>
          <w:lang w:val="fr-CA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21"/>
        <w:gridCol w:w="5179"/>
      </w:tblGrid>
      <w:tr w:rsidR="00540181" w14:paraId="28DEEEEB" w14:textId="77777777">
        <w:tblPrEx>
          <w:tblCellMar>
            <w:top w:w="0" w:type="dxa"/>
            <w:bottom w:w="0" w:type="dxa"/>
          </w:tblCellMar>
        </w:tblPrEx>
        <w:tc>
          <w:tcPr>
            <w:tcW w:w="4921" w:type="dxa"/>
          </w:tcPr>
          <w:p w14:paraId="1B7C98FA" w14:textId="77777777" w:rsidR="00540181" w:rsidRDefault="00540181">
            <w:pPr>
              <w:pStyle w:val="table-f"/>
              <w:tabs>
                <w:tab w:val="left" w:leader="dot" w:pos="3600"/>
              </w:tabs>
              <w:spacing w:before="240"/>
              <w:ind w:right="57"/>
            </w:pPr>
            <w:r>
              <w:t xml:space="preserve">date </w:t>
            </w:r>
            <w:r>
              <w:tab/>
            </w:r>
          </w:p>
        </w:tc>
        <w:tc>
          <w:tcPr>
            <w:tcW w:w="5179" w:type="dxa"/>
          </w:tcPr>
          <w:p w14:paraId="1605769B" w14:textId="77777777" w:rsidR="00540181" w:rsidRDefault="00540181">
            <w:pPr>
              <w:pStyle w:val="table-f"/>
              <w:tabs>
                <w:tab w:val="left" w:leader="dot" w:pos="8640"/>
              </w:tabs>
              <w:spacing w:before="240"/>
            </w:pPr>
            <w:r>
              <w:t xml:space="preserve">signature </w:t>
            </w:r>
            <w:r>
              <w:tab/>
            </w:r>
          </w:p>
          <w:p w14:paraId="6AA3CC3B" w14:textId="77777777" w:rsidR="00540181" w:rsidRDefault="00540181">
            <w:pPr>
              <w:pStyle w:val="table-f"/>
              <w:tabs>
                <w:tab w:val="left" w:pos="797"/>
                <w:tab w:val="left" w:pos="1877"/>
                <w:tab w:val="left" w:pos="2957"/>
                <w:tab w:val="left" w:pos="4037"/>
                <w:tab w:val="left" w:pos="5117"/>
                <w:tab w:val="left" w:pos="6197"/>
                <w:tab w:val="left" w:pos="7277"/>
                <w:tab w:val="left" w:pos="8357"/>
                <w:tab w:val="left" w:pos="9437"/>
                <w:tab w:val="left" w:pos="10517"/>
                <w:tab w:val="left" w:pos="11597"/>
                <w:tab w:val="left" w:pos="12677"/>
                <w:tab w:val="left" w:pos="13757"/>
                <w:tab w:val="left" w:pos="14837"/>
                <w:tab w:val="left" w:pos="15917"/>
                <w:tab w:val="left" w:pos="16997"/>
                <w:tab w:val="left" w:pos="18077"/>
                <w:tab w:val="left" w:pos="19157"/>
                <w:tab w:val="left" w:pos="20237"/>
                <w:tab w:val="left" w:pos="21317"/>
                <w:tab w:val="left" w:pos="22397"/>
                <w:tab w:val="left" w:pos="23477"/>
                <w:tab w:val="left" w:pos="24557"/>
                <w:tab w:val="left" w:pos="25637"/>
                <w:tab w:val="left" w:pos="26717"/>
                <w:tab w:val="left" w:pos="27797"/>
                <w:tab w:val="left" w:pos="28877"/>
                <w:tab w:val="left" w:pos="29957"/>
                <w:tab w:val="left" w:pos="31037"/>
              </w:tabs>
              <w:spacing w:before="40"/>
              <w:ind w:left="792"/>
              <w:rPr>
                <w:i/>
              </w:rPr>
            </w:pPr>
            <w:r>
              <w:t>greffier de la Cour d’appel (ou de la Cour divisionnaire</w:t>
            </w:r>
            <w:r>
              <w:rPr>
                <w:i/>
              </w:rPr>
              <w:t>)</w:t>
            </w:r>
          </w:p>
        </w:tc>
      </w:tr>
    </w:tbl>
    <w:p w14:paraId="0B806E0A" w14:textId="77777777" w:rsidR="00540181" w:rsidRDefault="00540181">
      <w:pPr>
        <w:spacing w:line="115" w:lineRule="exact"/>
        <w:rPr>
          <w:snapToGrid w:val="0"/>
          <w:lang w:val="fr-CA"/>
        </w:rPr>
      </w:pPr>
    </w:p>
    <w:p w14:paraId="590A1FBE" w14:textId="77777777" w:rsidR="00540181" w:rsidRDefault="00540181">
      <w:pPr>
        <w:pStyle w:val="note-f"/>
        <w:tabs>
          <w:tab w:val="clear" w:pos="977"/>
        </w:tabs>
        <w:spacing w:before="49"/>
        <w:ind w:left="0" w:firstLine="0"/>
        <w:jc w:val="left"/>
      </w:pPr>
      <w:r>
        <w:t>REMARQUE : S’il y a un appel incident, l’appelant à l’appel incident devrait tenir compte de la règle 61.15, en vertu de laquelle l’appel  incident peut être réputé faire l’objet d’un désistement.</w:t>
      </w:r>
    </w:p>
    <w:p w14:paraId="74709902" w14:textId="77777777" w:rsidR="00540181" w:rsidRDefault="00540181">
      <w:pPr>
        <w:pStyle w:val="footnote-f"/>
      </w:pPr>
      <w:r>
        <w:t>RCP-F 61I (</w:t>
      </w:r>
      <w:r w:rsidR="00DA3E78">
        <w:t>1</w:t>
      </w:r>
      <w:r w:rsidR="00DA3E78" w:rsidRPr="00DA3E78">
        <w:rPr>
          <w:vertAlign w:val="superscript"/>
        </w:rPr>
        <w:t>er</w:t>
      </w:r>
      <w:r w:rsidR="00DA3E78">
        <w:t xml:space="preserve"> novembre 2016)</w:t>
      </w:r>
    </w:p>
    <w:sectPr w:rsidR="00540181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7218D" w14:textId="77777777" w:rsidR="0051064B" w:rsidRDefault="0051064B" w:rsidP="0051064B">
      <w:r>
        <w:separator/>
      </w:r>
    </w:p>
  </w:endnote>
  <w:endnote w:type="continuationSeparator" w:id="0">
    <w:p w14:paraId="51438711" w14:textId="77777777" w:rsidR="0051064B" w:rsidRDefault="0051064B" w:rsidP="0051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75411" w14:textId="77777777" w:rsidR="0051064B" w:rsidRDefault="0051064B" w:rsidP="0051064B">
      <w:r>
        <w:separator/>
      </w:r>
    </w:p>
  </w:footnote>
  <w:footnote w:type="continuationSeparator" w:id="0">
    <w:p w14:paraId="6706AD6B" w14:textId="77777777" w:rsidR="0051064B" w:rsidRDefault="0051064B" w:rsidP="00510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3E78"/>
    <w:rsid w:val="00125034"/>
    <w:rsid w:val="0051064B"/>
    <w:rsid w:val="00540181"/>
    <w:rsid w:val="00745ED5"/>
    <w:rsid w:val="009A1893"/>
    <w:rsid w:val="00DA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94EBFCE"/>
  <w15:chartTrackingRefBased/>
  <w15:docId w15:val="{69F479B5-F55B-4F74-B86B-5E37978D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note-f">
    <w:name w:val="note-f"/>
    <w:basedOn w:val="Normal"/>
    <w:pPr>
      <w:tabs>
        <w:tab w:val="left" w:pos="-977"/>
        <w:tab w:val="left" w:pos="977"/>
      </w:tabs>
      <w:spacing w:after="140" w:line="180" w:lineRule="exact"/>
      <w:ind w:left="977" w:hanging="977"/>
      <w:jc w:val="both"/>
    </w:pPr>
    <w:rPr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heading3-f">
    <w:name w:val="zheading3-f"/>
    <w:pPr>
      <w:tabs>
        <w:tab w:val="left" w:pos="0"/>
      </w:tabs>
      <w:spacing w:after="139" w:line="190" w:lineRule="exact"/>
      <w:jc w:val="center"/>
    </w:pPr>
    <w:rPr>
      <w:rFonts w:ascii="Times" w:hAnsi="Times"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RCP-F 61I</vt:lpstr>
    </vt:vector>
  </TitlesOfParts>
  <Manager>Fitzpatrick, P.</Manager>
  <Company>MAG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61I</dc:title>
  <dc:subject>Formule 61I, Ordonnance rejetant l’appel ou l’appel incident pour cause de retard</dc:subject>
  <dc:creator>Rottman, M</dc:creator>
  <cp:keywords/>
  <dc:description/>
  <cp:lastModifiedBy>Schell, Denise (MAG)</cp:lastModifiedBy>
  <cp:revision>2</cp:revision>
  <dcterms:created xsi:type="dcterms:W3CDTF">2021-11-22T18:36:00Z</dcterms:created>
  <dcterms:modified xsi:type="dcterms:W3CDTF">2021-11-22T18:36:00Z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2021-11-22T18:36:38Z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1476c719-0c52-4371-b9bc-465f68b2eea5</vt:lpwstr>
  </property>
  <property fmtid="{D5CDD505-2E9C-101B-9397-08002B2CF9AE}" pid="8" name="MSIP_Label_034a106e-6316-442c-ad35-738afd673d2b_ContentBits">
    <vt:lpwstr>0</vt:lpwstr>
  </property>
</Properties>
</file>