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9DDD" w14:textId="77777777" w:rsidR="00000000" w:rsidRDefault="00A66784">
      <w:pPr>
        <w:pStyle w:val="form-f"/>
        <w:tabs>
          <w:tab w:val="clear" w:pos="0"/>
        </w:tabs>
      </w:pPr>
      <w:r>
        <w:t>Formule 55C</w:t>
      </w:r>
    </w:p>
    <w:p w14:paraId="15832385" w14:textId="77777777" w:rsidR="00000000" w:rsidRDefault="00A66784">
      <w:pPr>
        <w:pStyle w:val="act-f"/>
        <w:tabs>
          <w:tab w:val="clear" w:pos="0"/>
        </w:tabs>
      </w:pPr>
      <w:r>
        <w:t>Loi sur les tribunaux judiciaires</w:t>
      </w:r>
    </w:p>
    <w:p w14:paraId="62F65EEF" w14:textId="77777777" w:rsidR="00000000" w:rsidRDefault="00A66784">
      <w:pPr>
        <w:pStyle w:val="subject-f"/>
        <w:tabs>
          <w:tab w:val="clear" w:pos="0"/>
        </w:tabs>
      </w:pPr>
      <w:r>
        <w:t>rapport sur le renvoi (administration de la succession)</w:t>
      </w:r>
    </w:p>
    <w:p w14:paraId="20A4EAD1" w14:textId="77777777" w:rsidR="00000000" w:rsidRDefault="00A6678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71D10E4B" w14:textId="77777777" w:rsidR="00000000" w:rsidRDefault="00A66784">
      <w:pPr>
        <w:pStyle w:val="zheadingx-f"/>
        <w:tabs>
          <w:tab w:val="clear" w:pos="0"/>
        </w:tabs>
      </w:pPr>
      <w:r>
        <w:t>rapport sur le renvoi</w:t>
      </w:r>
    </w:p>
    <w:p w14:paraId="7C1E4030" w14:textId="77777777" w:rsidR="00000000" w:rsidRDefault="00A66784">
      <w:pPr>
        <w:pStyle w:val="zparawtab-f"/>
      </w:pPr>
      <w:r>
        <w:tab/>
      </w:r>
      <w:r>
        <w:tab/>
        <w:t xml:space="preserve">Conformément à l’ordonnance de renvoi du </w:t>
      </w:r>
      <w:r>
        <w:rPr>
          <w:i/>
        </w:rPr>
        <w:t xml:space="preserve">(date), </w:t>
      </w:r>
      <w:r>
        <w:t>j’ai statué sur les questions qui m’ont été soumises et je fais le rappor</w:t>
      </w:r>
      <w:r>
        <w:t>t suivant :</w:t>
      </w:r>
    </w:p>
    <w:p w14:paraId="2F9175D6" w14:textId="77777777" w:rsidR="00000000" w:rsidRDefault="00A66784">
      <w:pPr>
        <w:pStyle w:val="zparawtab-f"/>
        <w:tabs>
          <w:tab w:val="clear" w:pos="279"/>
          <w:tab w:val="left" w:pos="359"/>
        </w:tabs>
      </w:pPr>
      <w:r>
        <w:tab/>
        <w:t>1.</w:t>
      </w:r>
      <w:r>
        <w:tab/>
        <w:t>Les parties suivantes ont reçu signification de l’ordonnance de renvoi et de l’avis de rencontre en vue d’obtenir des directives de l’arbitre : </w:t>
      </w:r>
      <w:r>
        <w:rPr>
          <w:i/>
        </w:rPr>
        <w:t>(indiquer les noms).  (Le cas échéant, ajouter : </w:t>
      </w:r>
      <w:r>
        <w:t>Il y a eu dispense de signification aux parties</w:t>
      </w:r>
      <w:r>
        <w:t xml:space="preserve"> suivantes</w:t>
      </w:r>
      <w:r>
        <w:rPr>
          <w:i/>
        </w:rPr>
        <w:t> </w:t>
      </w:r>
      <w:r>
        <w:t>: </w:t>
      </w:r>
      <w:r>
        <w:rPr>
          <w:i/>
        </w:rPr>
        <w:t>(indiquer les noms et le motif de la dispense).)</w:t>
      </w:r>
      <w:r>
        <w:t xml:space="preserve">  Les personnes suivantes ont été jointes comme parties au renvoi et ont reçu signification d’un avis à la pe</w:t>
      </w:r>
      <w:r>
        <w:t>r</w:t>
      </w:r>
      <w:r>
        <w:t>sonne jointe comme partie au renvoi : </w:t>
      </w:r>
      <w:r>
        <w:rPr>
          <w:i/>
        </w:rPr>
        <w:t>(indiquer les noms)</w:t>
      </w:r>
      <w:r>
        <w:t>.</w:t>
      </w:r>
    </w:p>
    <w:p w14:paraId="7A626B14" w14:textId="77777777" w:rsidR="00000000" w:rsidRDefault="00A66784">
      <w:pPr>
        <w:pStyle w:val="zparawtab-f"/>
        <w:tabs>
          <w:tab w:val="clear" w:pos="279"/>
          <w:tab w:val="left" w:pos="359"/>
        </w:tabs>
        <w:rPr>
          <w:i/>
        </w:rPr>
      </w:pPr>
      <w:r>
        <w:tab/>
        <w:t>2.</w:t>
      </w:r>
      <w:r>
        <w:tab/>
        <w:t xml:space="preserve">Les parties suivantes </w:t>
      </w:r>
      <w:r>
        <w:t>n’étaient pas présentes au renvoi : </w:t>
      </w:r>
      <w:r>
        <w:rPr>
          <w:i/>
        </w:rPr>
        <w:t>(indiquer les noms).</w:t>
      </w:r>
    </w:p>
    <w:p w14:paraId="2CB2E464" w14:textId="77777777" w:rsidR="00000000" w:rsidRDefault="00A66784">
      <w:pPr>
        <w:pStyle w:val="zparawtab-f"/>
        <w:tabs>
          <w:tab w:val="clear" w:pos="279"/>
          <w:tab w:val="left" w:pos="359"/>
          <w:tab w:val="left" w:leader="dot" w:pos="2391"/>
          <w:tab w:val="left" w:leader="dot" w:pos="8640"/>
        </w:tabs>
        <w:rPr>
          <w:i/>
        </w:rPr>
      </w:pPr>
      <w:r>
        <w:tab/>
        <w:t>3.</w:t>
      </w:r>
      <w:r>
        <w:tab/>
        <w:t xml:space="preserve">S’élève à </w:t>
      </w:r>
      <w:r>
        <w:tab/>
        <w:t xml:space="preserve"> $ la valeur des biens meubles ne faisant pas l’objet d’un legs particulier de la part du testateur que les exéc</w:t>
      </w:r>
      <w:r>
        <w:t>u</w:t>
      </w:r>
      <w:r>
        <w:t>teurs testamentaires ont reçue et dont ils sont redevables.  Ces dernie</w:t>
      </w:r>
      <w:r>
        <w:t xml:space="preserve">rs ont versé </w:t>
      </w:r>
      <w:r>
        <w:tab/>
        <w:t xml:space="preserve"> $ ou ont droit à une réduction</w:t>
      </w:r>
      <w:r>
        <w:rPr>
          <w:i/>
        </w:rPr>
        <w:t xml:space="preserve"> </w:t>
      </w:r>
      <w:r>
        <w:t xml:space="preserve">égale à ce montant.  Le solde à leur débit </w:t>
      </w:r>
      <w:r>
        <w:rPr>
          <w:i/>
        </w:rPr>
        <w:t xml:space="preserve">(ou </w:t>
      </w:r>
      <w:r>
        <w:t>crédit</w:t>
      </w:r>
      <w:r>
        <w:rPr>
          <w:i/>
        </w:rPr>
        <w:t xml:space="preserve">) </w:t>
      </w:r>
      <w:r>
        <w:t xml:space="preserve">s’élève à </w:t>
      </w:r>
      <w:r>
        <w:tab/>
        <w:t xml:space="preserve"> $</w:t>
      </w:r>
      <w:r>
        <w:rPr>
          <w:i/>
        </w:rPr>
        <w:t xml:space="preserve"> (ou, le cas échéant : </w:t>
      </w:r>
      <w:r>
        <w:t>les ex</w:t>
      </w:r>
      <w:r>
        <w:t>é</w:t>
      </w:r>
      <w:r>
        <w:t>cuteurs testamentaires n’ont pas reçu de biens meubles et ils ne sont redevables d’aucun.</w:t>
      </w:r>
      <w:r>
        <w:rPr>
          <w:i/>
        </w:rPr>
        <w:t>)</w:t>
      </w:r>
    </w:p>
    <w:p w14:paraId="65F08932" w14:textId="77777777" w:rsidR="00000000" w:rsidRDefault="00A66784">
      <w:pPr>
        <w:pStyle w:val="zparawtab-f"/>
        <w:tabs>
          <w:tab w:val="clear" w:pos="279"/>
          <w:tab w:val="left" w:pos="359"/>
          <w:tab w:val="right" w:leader="dot" w:pos="1920"/>
          <w:tab w:val="left" w:leader="dot" w:pos="9600"/>
        </w:tabs>
        <w:rPr>
          <w:i/>
        </w:rPr>
      </w:pPr>
      <w:r>
        <w:tab/>
        <w:t>4.</w:t>
      </w:r>
      <w:r>
        <w:tab/>
        <w:t>Les créances reçu</w:t>
      </w:r>
      <w:r>
        <w:t xml:space="preserve">es en réponse à l’avis aux créanciers et que j’ai acceptées sont précisées à l’annexe A et s’élèvent globalement à </w:t>
      </w:r>
      <w:r>
        <w:tab/>
        <w:t xml:space="preserve">$ </w:t>
      </w:r>
      <w:r>
        <w:rPr>
          <w:i/>
        </w:rPr>
        <w:t>(ou, le cas échéant : </w:t>
      </w:r>
      <w:r>
        <w:t>Aucun créancier n’a fait parvenir de créance en r</w:t>
      </w:r>
      <w:r>
        <w:t>é</w:t>
      </w:r>
      <w:r>
        <w:t>ponse à l’avis aux créanciers et le bien</w:t>
      </w:r>
      <w:r>
        <w:rPr>
          <w:i/>
        </w:rPr>
        <w:t>-</w:t>
      </w:r>
      <w:r>
        <w:t>fondé d’aucune créance n’</w:t>
      </w:r>
      <w:r>
        <w:t>a été établi devant moi.</w:t>
      </w:r>
      <w:r>
        <w:rPr>
          <w:i/>
        </w:rPr>
        <w:t>)</w:t>
      </w:r>
    </w:p>
    <w:p w14:paraId="57CC3E32" w14:textId="77777777" w:rsidR="00000000" w:rsidRDefault="00A66784">
      <w:pPr>
        <w:pStyle w:val="zparawtab-f"/>
        <w:tabs>
          <w:tab w:val="clear" w:pos="279"/>
          <w:tab w:val="left" w:pos="359"/>
          <w:tab w:val="left" w:leader="dot" w:pos="4782"/>
        </w:tabs>
      </w:pPr>
      <w:r>
        <w:tab/>
        <w:t>5.</w:t>
      </w:r>
      <w:r>
        <w:tab/>
        <w:t xml:space="preserve">Les frais funéraires du testateur, qui s’élèvent à </w:t>
      </w:r>
      <w:r>
        <w:tab/>
        <w:t xml:space="preserve"> $, ont été payés par les exécuteurs testamentaires et sont déduits en leur faveur du compte des biens meubles.</w:t>
      </w:r>
    </w:p>
    <w:p w14:paraId="517AE7BE" w14:textId="77777777" w:rsidR="00000000" w:rsidRDefault="00A66784">
      <w:pPr>
        <w:pStyle w:val="zparawtab-f"/>
        <w:tabs>
          <w:tab w:val="clear" w:pos="279"/>
          <w:tab w:val="left" w:pos="359"/>
        </w:tabs>
        <w:rPr>
          <w:i/>
        </w:rPr>
      </w:pPr>
      <w:r>
        <w:tab/>
        <w:t>6.</w:t>
      </w:r>
      <w:r>
        <w:tab/>
        <w:t>Les legs effectués par le testateur sont indiqués à l’anne</w:t>
      </w:r>
      <w:r>
        <w:t xml:space="preserve">xe B et les intérêts qui y sont indiqués sont dus aux personnes désignées </w:t>
      </w:r>
      <w:r>
        <w:rPr>
          <w:i/>
        </w:rPr>
        <w:t xml:space="preserve">(ou la </w:t>
      </w:r>
      <w:proofErr w:type="gramStart"/>
      <w:r>
        <w:rPr>
          <w:i/>
        </w:rPr>
        <w:t>me</w:t>
      </w:r>
      <w:r>
        <w:rPr>
          <w:i/>
        </w:rPr>
        <w:t>n</w:t>
      </w:r>
      <w:r>
        <w:rPr>
          <w:i/>
        </w:rPr>
        <w:t>tion</w:t>
      </w:r>
      <w:proofErr w:type="gramEnd"/>
      <w:r>
        <w:rPr>
          <w:i/>
        </w:rPr>
        <w:t xml:space="preserve"> appropriée).</w:t>
      </w:r>
    </w:p>
    <w:p w14:paraId="73194D38" w14:textId="77777777" w:rsidR="00000000" w:rsidRDefault="00A66784">
      <w:pPr>
        <w:pStyle w:val="zparawtab-f"/>
        <w:tabs>
          <w:tab w:val="clear" w:pos="279"/>
          <w:tab w:val="left" w:pos="359"/>
        </w:tabs>
      </w:pPr>
      <w:r>
        <w:tab/>
        <w:t>7.</w:t>
      </w:r>
      <w:r>
        <w:tab/>
        <w:t>Les biens meubles du testateur non dévolus ou qui n’ont pas été aliénés sont indiqués à l’annexe C.</w:t>
      </w:r>
    </w:p>
    <w:p w14:paraId="2CB45E72" w14:textId="77777777" w:rsidR="00000000" w:rsidRDefault="00A66784">
      <w:pPr>
        <w:pStyle w:val="zparawtab-f"/>
        <w:tabs>
          <w:tab w:val="clear" w:pos="279"/>
          <w:tab w:val="left" w:pos="359"/>
        </w:tabs>
      </w:pPr>
      <w:r>
        <w:tab/>
        <w:t>8.</w:t>
      </w:r>
      <w:r>
        <w:tab/>
        <w:t>Les immeubles dont le testateur avait la propr</w:t>
      </w:r>
      <w:r>
        <w:t>iété, de même que les sûretés qui les hypothèquent, sont indiqués à l’annexe D.</w:t>
      </w:r>
    </w:p>
    <w:p w14:paraId="1E98140E" w14:textId="77777777" w:rsidR="00000000" w:rsidRDefault="00A66784">
      <w:pPr>
        <w:pStyle w:val="zparawtab-f"/>
        <w:tabs>
          <w:tab w:val="clear" w:pos="279"/>
          <w:tab w:val="left" w:pos="359"/>
          <w:tab w:val="left" w:leader="dot" w:pos="3587"/>
          <w:tab w:val="left" w:leader="dot" w:pos="5800"/>
        </w:tabs>
        <w:rPr>
          <w:i/>
        </w:rPr>
      </w:pPr>
      <w:r>
        <w:tab/>
        <w:t>9.</w:t>
      </w:r>
      <w:r>
        <w:tab/>
        <w:t xml:space="preserve">S’élèvent à </w:t>
      </w:r>
      <w:r>
        <w:tab/>
        <w:t xml:space="preserve"> $ les loyers et les bénéfices provenant des immeubles du testateur que les exécuteurs test</w:t>
      </w:r>
      <w:r>
        <w:t>a</w:t>
      </w:r>
      <w:r>
        <w:t xml:space="preserve">mentaires ont reçus et dont ils sont redevables.  Ces derniers ont </w:t>
      </w:r>
      <w:r>
        <w:t xml:space="preserve">versé </w:t>
      </w:r>
      <w:r>
        <w:tab/>
        <w:t xml:space="preserve"> $ ou ont droit à une réduction égale à ce montant.  Le solde à leur débit </w:t>
      </w:r>
      <w:r>
        <w:rPr>
          <w:i/>
        </w:rPr>
        <w:t xml:space="preserve">(ou </w:t>
      </w:r>
      <w:r>
        <w:t>crédit</w:t>
      </w:r>
      <w:r>
        <w:rPr>
          <w:i/>
        </w:rPr>
        <w:t xml:space="preserve">) </w:t>
      </w:r>
      <w:r>
        <w:t xml:space="preserve">s’élève à </w:t>
      </w:r>
      <w:r>
        <w:tab/>
        <w:t xml:space="preserve"> $</w:t>
      </w:r>
      <w:r>
        <w:rPr>
          <w:i/>
        </w:rPr>
        <w:t xml:space="preserve"> (ou, le cas échéant : </w:t>
      </w:r>
      <w:r>
        <w:t>les exécuteurs testame</w:t>
      </w:r>
      <w:r>
        <w:t>n</w:t>
      </w:r>
      <w:r>
        <w:t>taires n’ont reçu aucun loyer ni bénéfice et ils ne sont redev</w:t>
      </w:r>
      <w:r>
        <w:t>a</w:t>
      </w:r>
      <w:r>
        <w:t>bles d’aucun.</w:t>
      </w:r>
      <w:r>
        <w:rPr>
          <w:i/>
        </w:rPr>
        <w:t>)</w:t>
      </w:r>
    </w:p>
    <w:p w14:paraId="4B46325B" w14:textId="77777777" w:rsidR="00000000" w:rsidRDefault="00A66784">
      <w:pPr>
        <w:pStyle w:val="zparawtab-f"/>
        <w:tabs>
          <w:tab w:val="clear" w:pos="279"/>
          <w:tab w:val="left" w:pos="359"/>
          <w:tab w:val="left" w:leader="dot" w:pos="2391"/>
        </w:tabs>
      </w:pPr>
      <w:r>
        <w:tab/>
        <w:t>10.</w:t>
      </w:r>
      <w:r>
        <w:tab/>
        <w:t xml:space="preserve">J’ai accordé </w:t>
      </w:r>
      <w:r>
        <w:tab/>
        <w:t xml:space="preserve"> $ aux</w:t>
      </w:r>
      <w:r>
        <w:t xml:space="preserve"> exécuteurs testamentaires à titre d’administration de la succession.</w:t>
      </w:r>
    </w:p>
    <w:p w14:paraId="5F069BA8" w14:textId="77777777" w:rsidR="00000000" w:rsidRDefault="00A66784">
      <w:pPr>
        <w:pStyle w:val="zparawtab-f"/>
        <w:tabs>
          <w:tab w:val="clear" w:pos="279"/>
          <w:tab w:val="left" w:pos="359"/>
        </w:tabs>
      </w:pPr>
      <w:r>
        <w:tab/>
        <w:t>11.</w:t>
      </w:r>
      <w:r>
        <w:tab/>
        <w:t xml:space="preserve">J’ai ordonné la vente des immeubles, à l’exception de </w:t>
      </w:r>
      <w:r>
        <w:rPr>
          <w:i/>
        </w:rPr>
        <w:t xml:space="preserve">(préciser le bien) </w:t>
      </w:r>
      <w:r>
        <w:t>qui faisait l’objet d’un legs particulier, et les acquéreurs en ont cons</w:t>
      </w:r>
      <w:r>
        <w:t>i</w:t>
      </w:r>
      <w:r>
        <w:t>gné le prix d’achat au greffe du tr</w:t>
      </w:r>
      <w:r>
        <w:t>ibunal.</w:t>
      </w:r>
    </w:p>
    <w:p w14:paraId="1B8E6AA1" w14:textId="77777777" w:rsidR="00000000" w:rsidRDefault="00A66784">
      <w:pPr>
        <w:pStyle w:val="zparawtab-f"/>
        <w:tabs>
          <w:tab w:val="clear" w:pos="279"/>
          <w:tab w:val="left" w:pos="359"/>
        </w:tabs>
      </w:pPr>
      <w:r>
        <w:tab/>
        <w:t>12.</w:t>
      </w:r>
      <w:r>
        <w:tab/>
        <w:t>Le mode de versement des sommes consignées au tribunal est précisé à l’annexe 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0000" w14:paraId="5F6AE9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419D59DC" w14:textId="77777777" w:rsidR="00000000" w:rsidRDefault="00A66784">
            <w:pPr>
              <w:pStyle w:val="table-f"/>
              <w:spacing w:before="24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680" w:type="dxa"/>
          </w:tcPr>
          <w:p w14:paraId="4C8D2FAD" w14:textId="77777777" w:rsidR="00000000" w:rsidRDefault="00A66784">
            <w:pPr>
              <w:pStyle w:val="table-f"/>
              <w:spacing w:before="24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signature</w:t>
            </w:r>
            <w:proofErr w:type="gramEnd"/>
            <w:r>
              <w:rPr>
                <w:i/>
              </w:rPr>
              <w:t xml:space="preserve"> de l’arbitre)</w:t>
            </w:r>
          </w:p>
        </w:tc>
      </w:tr>
    </w:tbl>
    <w:p w14:paraId="237E2BF8" w14:textId="77777777" w:rsidR="00000000" w:rsidRDefault="00A66784">
      <w:pPr>
        <w:spacing w:line="239" w:lineRule="exact"/>
        <w:rPr>
          <w:snapToGrid w:val="0"/>
          <w:lang w:val="fr-CA"/>
        </w:rPr>
      </w:pPr>
    </w:p>
    <w:p w14:paraId="3A699D8A" w14:textId="77777777" w:rsidR="00000000" w:rsidRDefault="00A66784">
      <w:pPr>
        <w:pStyle w:val="zparawtab-f"/>
        <w:rPr>
          <w:i/>
        </w:rPr>
      </w:pPr>
      <w:r>
        <w:rPr>
          <w:i/>
        </w:rPr>
        <w:tab/>
      </w:r>
      <w:r>
        <w:rPr>
          <w:i/>
        </w:rPr>
        <w:tab/>
        <w:t>(Les annexes doivent être aussi brèves que possible.  Il suffit d’indiquer le caractère général des objets décrits.  La descri</w:t>
      </w:r>
      <w:r>
        <w:rPr>
          <w:i/>
        </w:rPr>
        <w:t>ption ex</w:t>
      </w:r>
      <w:r>
        <w:rPr>
          <w:i/>
        </w:rPr>
        <w:t>i</w:t>
      </w:r>
      <w:r>
        <w:rPr>
          <w:i/>
        </w:rPr>
        <w:t>gée par la loi n’est pas nécessaire lorsque l’on désigne des biens-fonds.)</w:t>
      </w:r>
    </w:p>
    <w:p w14:paraId="00CD85D0" w14:textId="77777777" w:rsidR="00000000" w:rsidRDefault="00A66784">
      <w:pPr>
        <w:pStyle w:val="zparawtab-f"/>
        <w:rPr>
          <w:i/>
        </w:rPr>
      </w:pPr>
      <w:r>
        <w:tab/>
      </w:r>
      <w:r>
        <w:tab/>
      </w:r>
      <w:r>
        <w:rPr>
          <w:i/>
        </w:rPr>
        <w:t>(À l’annexe C, les biens meubles qui ne font pas l’objet d’un legs particulier doivent être indiqués sous une rubrique distincte des biens me</w:t>
      </w:r>
      <w:r>
        <w:rPr>
          <w:i/>
        </w:rPr>
        <w:t>u</w:t>
      </w:r>
      <w:r>
        <w:rPr>
          <w:i/>
        </w:rPr>
        <w:t>bles non dévolus ou qui n’on</w:t>
      </w:r>
      <w:r>
        <w:rPr>
          <w:i/>
        </w:rPr>
        <w:t>t pas été aliénés.  L’absence de legs particuliers doit être mentionnée dans le rapport.)</w:t>
      </w:r>
    </w:p>
    <w:p w14:paraId="67932565" w14:textId="77777777" w:rsidR="00000000" w:rsidRDefault="00A66784">
      <w:pPr>
        <w:pStyle w:val="footnote-f"/>
      </w:pPr>
      <w:r>
        <w:t>RCP-F 55C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628F8" w14:textId="77777777" w:rsidR="00A66784" w:rsidRDefault="00A66784" w:rsidP="00A66784">
      <w:r>
        <w:separator/>
      </w:r>
    </w:p>
  </w:endnote>
  <w:endnote w:type="continuationSeparator" w:id="0">
    <w:p w14:paraId="66A3658D" w14:textId="77777777" w:rsidR="00A66784" w:rsidRDefault="00A66784" w:rsidP="00A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8727" w14:textId="77777777" w:rsidR="00A66784" w:rsidRDefault="00A66784" w:rsidP="00A66784">
      <w:r>
        <w:separator/>
      </w:r>
    </w:p>
  </w:footnote>
  <w:footnote w:type="continuationSeparator" w:id="0">
    <w:p w14:paraId="0B670276" w14:textId="77777777" w:rsidR="00A66784" w:rsidRDefault="00A66784" w:rsidP="00A6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84"/>
    <w:rsid w:val="00A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3F5B7"/>
  <w15:chartTrackingRefBased/>
  <w15:docId w15:val="{970A1CD0-6B6E-4857-AA60-B8C327A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55C Rapport sur le renvoi (Administration de la succession)</vt:lpstr>
    </vt:vector>
  </TitlesOfParts>
  <Company>Gouvernement de l’Ontario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55C Rapport sur le renvoi (Administration de la succession)</dc:title>
  <dc:subject>RCP-F 55C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2021-11-22T16:45:00Z</dcterms:created>
  <dcterms:modified xsi:type="dcterms:W3CDTF">2021-11-22T16:45:00Z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2021-11-22T16:45:15Z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0b98ff1b-4ddc-4111-9959-8b116948b7ac</vt:lpwstr>
  </property>
  <property fmtid="{D5CDD505-2E9C-101B-9397-08002B2CF9AE}" pid="8" name="MSIP_Label_034a106e-6316-442c-ad35-738afd673d2b_ContentBits">
    <vt:lpwstr>0</vt:lpwstr>
  </property>
</Properties>
</file>