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F0ED" w14:textId="77777777" w:rsidR="00000000" w:rsidRDefault="00E3614B">
      <w:pPr>
        <w:pStyle w:val="form-f"/>
        <w:tabs>
          <w:tab w:val="clear" w:pos="0"/>
        </w:tabs>
      </w:pPr>
      <w:r>
        <w:t>Formule 35A</w:t>
      </w:r>
    </w:p>
    <w:p w14:paraId="7897707D" w14:textId="77777777" w:rsidR="00000000" w:rsidRDefault="00E3614B">
      <w:pPr>
        <w:pStyle w:val="act-f"/>
        <w:tabs>
          <w:tab w:val="clear" w:pos="0"/>
        </w:tabs>
      </w:pPr>
      <w:r>
        <w:t>Loi sur les tribunaux judiciaires</w:t>
      </w:r>
    </w:p>
    <w:p w14:paraId="64C354AF" w14:textId="77777777" w:rsidR="00000000" w:rsidRDefault="00E3614B">
      <w:pPr>
        <w:pStyle w:val="subject-f"/>
        <w:tabs>
          <w:tab w:val="clear" w:pos="0"/>
        </w:tabs>
      </w:pPr>
      <w:r>
        <w:t xml:space="preserve">questionnaire relatif à l’interrogatoire </w:t>
      </w:r>
      <w:r>
        <w:br/>
        <w:t>préalable effectué par écrit</w:t>
      </w:r>
    </w:p>
    <w:p w14:paraId="34949F5B" w14:textId="77777777" w:rsidR="00000000" w:rsidRDefault="00E3614B">
      <w:pPr>
        <w:pStyle w:val="zheading3-f"/>
        <w:tabs>
          <w:tab w:val="clear" w:pos="0"/>
        </w:tabs>
        <w:spacing w:before="12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titre</w:t>
      </w:r>
      <w:proofErr w:type="gramEnd"/>
      <w:r>
        <w:rPr>
          <w:i/>
        </w:rPr>
        <w:t>)</w:t>
      </w:r>
    </w:p>
    <w:p w14:paraId="44B24179" w14:textId="77777777" w:rsidR="00000000" w:rsidRDefault="00E3614B">
      <w:pPr>
        <w:pStyle w:val="zheadingx-f"/>
        <w:tabs>
          <w:tab w:val="clear" w:pos="0"/>
        </w:tabs>
      </w:pPr>
      <w:r>
        <w:t xml:space="preserve">questionnaire relatif à l’interrogatoire </w:t>
      </w:r>
      <w:r>
        <w:br/>
        <w:t>préalable effectué par écrit</w:t>
      </w:r>
    </w:p>
    <w:p w14:paraId="05868984" w14:textId="77777777" w:rsidR="00000000" w:rsidRDefault="00E3614B">
      <w:pPr>
        <w:pStyle w:val="zparawtab-f"/>
      </w:pPr>
      <w:r>
        <w:tab/>
      </w:r>
      <w:r>
        <w:tab/>
        <w:t xml:space="preserve">Le/La </w:t>
      </w:r>
      <w:r>
        <w:rPr>
          <w:i/>
        </w:rPr>
        <w:t>(désigner la partie interrogatrice)</w:t>
      </w:r>
      <w:r>
        <w:t xml:space="preserve"> a choisi de fair</w:t>
      </w:r>
      <w:r>
        <w:t xml:space="preserve">e subir un interrogatoire préalable à </w:t>
      </w:r>
      <w:r>
        <w:rPr>
          <w:i/>
        </w:rPr>
        <w:t>(désigner la personne qui doit subir l’interrogatoire)</w:t>
      </w:r>
      <w:r>
        <w:t xml:space="preserve"> </w:t>
      </w:r>
      <w:r>
        <w:rPr>
          <w:i/>
        </w:rPr>
        <w:t>(si cette personne n’est pas une partie à l’instance, indiquer si elle est interrogée au nom ou à la place d’une partie, en plus d’une partie ou en vertu d’une ord</w:t>
      </w:r>
      <w:r>
        <w:rPr>
          <w:i/>
        </w:rPr>
        <w:t>onnance du tribunal)</w:t>
      </w:r>
      <w:r>
        <w:t xml:space="preserve"> au moyen d’un questionnaire écrit et exige que les réponses aux questions suivantes soient do</w:t>
      </w:r>
      <w:r>
        <w:t>n</w:t>
      </w:r>
      <w:r>
        <w:t>nées sous serment au moyen d’un affidavit rédigé selon la formule 35B prescrite par les Règles de procédure civile et signifié dans les quinz</w:t>
      </w:r>
      <w:r>
        <w:t>e jours de la signification du présent questionnaire.</w:t>
      </w:r>
    </w:p>
    <w:p w14:paraId="1556362B" w14:textId="77777777" w:rsidR="00000000" w:rsidRDefault="00E3614B">
      <w:pPr>
        <w:pStyle w:val="zparanoindt-f"/>
        <w:rPr>
          <w:i/>
          <w:iCs/>
        </w:rPr>
      </w:pPr>
      <w:r>
        <w:rPr>
          <w:i/>
          <w:iCs/>
        </w:rPr>
        <w:t>(Si un nouveau questionnaire est signifié aux termes de la règle 35.04, remplacer par :)</w:t>
      </w:r>
    </w:p>
    <w:p w14:paraId="2768BF5A" w14:textId="77777777" w:rsidR="00000000" w:rsidRDefault="00E3614B">
      <w:pPr>
        <w:pStyle w:val="zparawtab-f"/>
      </w:pPr>
      <w:r>
        <w:tab/>
      </w:r>
      <w:r>
        <w:tab/>
        <w:t>Le/La</w:t>
      </w:r>
      <w:r>
        <w:rPr>
          <w:i/>
        </w:rPr>
        <w:t xml:space="preserve"> (désigner la partie interrogatrice)</w:t>
      </w:r>
      <w:r>
        <w:t xml:space="preserve"> exige que le/la </w:t>
      </w:r>
      <w:r>
        <w:rPr>
          <w:i/>
        </w:rPr>
        <w:t>(désigner la personne qui doit subir l’interrogatoire</w:t>
      </w:r>
      <w:r>
        <w:rPr>
          <w:i/>
        </w:rPr>
        <w:t>)</w:t>
      </w:r>
      <w:r>
        <w:t xml:space="preserve"> réponde sous serment à ce questionnaire au moyen de l’affidavit rédigé selon la formule 35B prescrite par les Règles de procédure civile et signifié dans les quinze jours de la signification du présent questionnaire.</w:t>
      </w:r>
    </w:p>
    <w:p w14:paraId="7881AE38" w14:textId="77777777" w:rsidR="00000000" w:rsidRDefault="00E3614B">
      <w:pPr>
        <w:pStyle w:val="zparawtab-f"/>
        <w:tabs>
          <w:tab w:val="right" w:pos="2391"/>
        </w:tabs>
        <w:rPr>
          <w:i/>
        </w:rPr>
      </w:pPr>
      <w:r>
        <w:t>1.</w:t>
      </w:r>
      <w:r>
        <w:tab/>
      </w:r>
      <w:r>
        <w:tab/>
        <w:t>(</w:t>
      </w:r>
      <w:r>
        <w:rPr>
          <w:i/>
        </w:rPr>
        <w:t xml:space="preserve">Numéroter chaque question. S’il </w:t>
      </w:r>
      <w:r>
        <w:rPr>
          <w:i/>
        </w:rPr>
        <w:t>s’agit d’un nouveau questionnaire visé à la règle 35.04, numéroter les questions consécutivement à la suite de la dernière question du questionnaire précédent.)</w:t>
      </w:r>
    </w:p>
    <w:p w14:paraId="220581F9" w14:textId="77777777" w:rsidR="00000000" w:rsidRDefault="00E3614B">
      <w:pPr>
        <w:spacing w:line="115" w:lineRule="exact"/>
        <w:rPr>
          <w:snapToGrid w:val="0"/>
          <w:lang w:val="fr-CA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00000" w14:paraId="06EA47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</w:tcPr>
          <w:p w14:paraId="4857E906" w14:textId="77777777" w:rsidR="00000000" w:rsidRDefault="00E3614B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4680" w:type="dxa"/>
          </w:tcPr>
          <w:p w14:paraId="6F937487" w14:textId="77777777" w:rsidR="00000000" w:rsidRDefault="00E3614B">
            <w:pPr>
              <w:pStyle w:val="table-f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nom</w:t>
            </w:r>
            <w:proofErr w:type="gramEnd"/>
            <w:r>
              <w:rPr>
                <w:i/>
              </w:rPr>
              <w:t>, adresse et numéro de téléphone de l’avocat de la partie interrogatrice ou de la p</w:t>
            </w:r>
            <w:r>
              <w:rPr>
                <w:i/>
              </w:rPr>
              <w:t>artie interrogatrice)</w:t>
            </w:r>
          </w:p>
        </w:tc>
      </w:tr>
    </w:tbl>
    <w:p w14:paraId="64CE2E3D" w14:textId="77777777" w:rsidR="00000000" w:rsidRDefault="00E3614B">
      <w:pPr>
        <w:spacing w:line="115" w:lineRule="exact"/>
        <w:rPr>
          <w:snapToGrid w:val="0"/>
          <w:lang w:val="fr-CA"/>
        </w:rPr>
      </w:pPr>
    </w:p>
    <w:p w14:paraId="54D0D68A" w14:textId="77777777" w:rsidR="00000000" w:rsidRDefault="00E3614B">
      <w:pPr>
        <w:pStyle w:val="zparanoindt-f"/>
        <w:rPr>
          <w:i/>
          <w:iCs/>
        </w:rPr>
      </w:pPr>
      <w:r>
        <w:t>DESTINATAIRE : </w:t>
      </w:r>
      <w:r>
        <w:rPr>
          <w:i/>
          <w:iCs/>
        </w:rPr>
        <w:t>(nom et adresse de l’avocat de la personne qui doit subir l’interrogatoire ou de cette personne)</w:t>
      </w:r>
    </w:p>
    <w:p w14:paraId="6AC35A0D" w14:textId="77777777" w:rsidR="00000000" w:rsidRDefault="00E3614B">
      <w:pPr>
        <w:pStyle w:val="footnote-f"/>
      </w:pPr>
      <w:r>
        <w:t>RCP-F 35A (1</w:t>
      </w:r>
      <w:r>
        <w:rPr>
          <w:vertAlign w:val="superscript"/>
        </w:rPr>
        <w:t>er</w:t>
      </w:r>
      <w:r>
        <w:t xml:space="preserve"> juillet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C76E" w14:textId="77777777" w:rsidR="00E3614B" w:rsidRDefault="00E3614B" w:rsidP="00E3614B">
      <w:r>
        <w:separator/>
      </w:r>
    </w:p>
  </w:endnote>
  <w:endnote w:type="continuationSeparator" w:id="0">
    <w:p w14:paraId="12FB6750" w14:textId="77777777" w:rsidR="00E3614B" w:rsidRDefault="00E3614B" w:rsidP="00E3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5C939" w14:textId="77777777" w:rsidR="00E3614B" w:rsidRDefault="00E3614B" w:rsidP="00E3614B">
      <w:r>
        <w:separator/>
      </w:r>
    </w:p>
  </w:footnote>
  <w:footnote w:type="continuationSeparator" w:id="0">
    <w:p w14:paraId="4C9BFC5E" w14:textId="77777777" w:rsidR="00E3614B" w:rsidRDefault="00E3614B" w:rsidP="00E3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14B"/>
    <w:rsid w:val="00E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D2D13"/>
  <w15:chartTrackingRefBased/>
  <w15:docId w15:val="{9B72F5F3-8AD4-4259-95C1-FBCE7F0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35A Questionnaire relatif à l’interrogatoire préalable effectué par écrit</vt:lpstr>
    </vt:vector>
  </TitlesOfParts>
  <Company>Gouvernement de l’Ontario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35A Questionnaire relatif à l’interrogatoire préalable effectué par écrit</dc:title>
  <dc:subject>RCP-F 35A (1er juillet 2007)</dc:subject>
  <dc:creator>Comité des règles en matière civile</dc:creator>
  <cp:keywords/>
  <dc:description/>
  <cp:lastModifiedBy>Schell, Denise (MAG)</cp:lastModifiedBy>
  <cp:revision>2</cp:revision>
  <cp:lastPrinted>2007-07-30T20:50:00Z</cp:lastPrinted>
  <dcterms:created xsi:type="dcterms:W3CDTF">2021-11-22T16:11:00Z</dcterms:created>
  <dcterms:modified xsi:type="dcterms:W3CDTF">2021-11-22T16:11:00Z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2021-11-22T16:11:41Z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95dbeaa3-a636-4abb-997f-52d2b3a761d5</vt:lpwstr>
  </property>
  <property fmtid="{D5CDD505-2E9C-101B-9397-08002B2CF9AE}" pid="8" name="MSIP_Label_034a106e-6316-442c-ad35-738afd673d2b_ContentBits">
    <vt:lpwstr>0</vt:lpwstr>
  </property>
</Properties>
</file>