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1201A" w14:textId="77777777" w:rsidR="00000000" w:rsidRDefault="0047624E">
      <w:pPr>
        <w:pStyle w:val="form-f"/>
        <w:tabs>
          <w:tab w:val="clear" w:pos="0"/>
        </w:tabs>
      </w:pPr>
      <w:r>
        <w:t>Formule 22A</w:t>
      </w:r>
    </w:p>
    <w:p w14:paraId="4BA9789C" w14:textId="77777777" w:rsidR="00000000" w:rsidRDefault="0047624E">
      <w:pPr>
        <w:pStyle w:val="act-f"/>
        <w:tabs>
          <w:tab w:val="clear" w:pos="0"/>
        </w:tabs>
      </w:pPr>
      <w:r>
        <w:t>Loi sur les tribunaux judiciaires</w:t>
      </w:r>
    </w:p>
    <w:p w14:paraId="3F84D97B" w14:textId="77777777" w:rsidR="00000000" w:rsidRDefault="0047624E">
      <w:pPr>
        <w:pStyle w:val="subject-f"/>
        <w:tabs>
          <w:tab w:val="clear" w:pos="0"/>
        </w:tabs>
      </w:pPr>
      <w:r>
        <w:t>exposé de cause</w:t>
      </w:r>
    </w:p>
    <w:p w14:paraId="6698113B" w14:textId="77777777" w:rsidR="00000000" w:rsidRDefault="0047624E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</w:t>
      </w:r>
      <w:proofErr w:type="gramStart"/>
      <w:r>
        <w:t>titre</w:t>
      </w:r>
      <w:proofErr w:type="gramEnd"/>
      <w:r>
        <w:t>)</w:t>
      </w:r>
    </w:p>
    <w:p w14:paraId="72DA048F" w14:textId="77777777" w:rsidR="00000000" w:rsidRDefault="0047624E">
      <w:pPr>
        <w:pStyle w:val="zheadingx-f"/>
        <w:tabs>
          <w:tab w:val="clear" w:pos="0"/>
        </w:tabs>
      </w:pPr>
      <w:r>
        <w:t>exposé de cause</w:t>
      </w:r>
    </w:p>
    <w:p w14:paraId="30EDD304" w14:textId="77777777" w:rsidR="00000000" w:rsidRDefault="0047624E">
      <w:pPr>
        <w:pStyle w:val="zparawtab-f"/>
        <w:jc w:val="left"/>
      </w:pPr>
      <w:r>
        <w:tab/>
      </w:r>
      <w:r>
        <w:tab/>
        <w:t>L’</w:t>
      </w:r>
      <w:r>
        <w:rPr>
          <w:caps/>
        </w:rPr>
        <w:t xml:space="preserve">exposé de cause </w:t>
      </w:r>
      <w:r>
        <w:t>SUIVANT est énoncé et soumis à l’avis du tribunal :</w:t>
      </w:r>
    </w:p>
    <w:p w14:paraId="2EC51E0A" w14:textId="77777777" w:rsidR="00000000" w:rsidRDefault="0047624E">
      <w:pPr>
        <w:pStyle w:val="zparawtab-f"/>
        <w:jc w:val="left"/>
        <w:rPr>
          <w:i/>
        </w:rPr>
      </w:pPr>
      <w:r>
        <w:t>1.</w:t>
      </w:r>
      <w:r>
        <w:tab/>
      </w:r>
      <w:r>
        <w:tab/>
      </w:r>
      <w:r>
        <w:rPr>
          <w:i/>
        </w:rPr>
        <w:t>(Indiquer sous forme de dispositions numérotées consécutivement les faits pertinents de la cau</w:t>
      </w:r>
      <w:r>
        <w:rPr>
          <w:i/>
        </w:rPr>
        <w:t>se sur lesquels les parties s’entendent et qui sont nécessaires au tribunal pour résoudre les questions posées. Se repo</w:t>
      </w:r>
      <w:r>
        <w:rPr>
          <w:i/>
        </w:rPr>
        <w:t>r</w:t>
      </w:r>
      <w:r>
        <w:rPr>
          <w:i/>
        </w:rPr>
        <w:t>ter aux documents pertinents et en annexer une copie.)</w:t>
      </w:r>
      <w:r>
        <w:rPr>
          <w:i/>
        </w:rPr>
        <w:br/>
      </w:r>
    </w:p>
    <w:p w14:paraId="5B1E3A73" w14:textId="77777777" w:rsidR="00000000" w:rsidRDefault="0047624E">
      <w:pPr>
        <w:pStyle w:val="zparawtab-f"/>
        <w:jc w:val="left"/>
      </w:pPr>
      <w:r>
        <w:tab/>
      </w:r>
      <w:r>
        <w:tab/>
      </w:r>
      <w:r>
        <w:rPr>
          <w:caps/>
        </w:rPr>
        <w:t>LeS questions</w:t>
      </w:r>
      <w:r>
        <w:t xml:space="preserve"> soumises à l’avis du tribunal sont les suivantes :</w:t>
      </w:r>
    </w:p>
    <w:p w14:paraId="31B53F4B" w14:textId="77777777" w:rsidR="00000000" w:rsidRDefault="0047624E">
      <w:pPr>
        <w:pStyle w:val="zparawtab-f"/>
        <w:jc w:val="left"/>
        <w:rPr>
          <w:i/>
        </w:rPr>
      </w:pPr>
      <w:r>
        <w:t>1.</w:t>
      </w:r>
      <w:r>
        <w:tab/>
      </w:r>
      <w:r>
        <w:tab/>
      </w:r>
      <w:r>
        <w:rPr>
          <w:i/>
        </w:rPr>
        <w:t>(Énumérer</w:t>
      </w:r>
      <w:r>
        <w:rPr>
          <w:i/>
        </w:rPr>
        <w:t xml:space="preserve"> les questions sous forme de dispositions numérotées consécutivement.)</w:t>
      </w:r>
      <w:r>
        <w:rPr>
          <w:i/>
        </w:rPr>
        <w:br/>
      </w:r>
    </w:p>
    <w:p w14:paraId="114A0135" w14:textId="77777777" w:rsidR="00000000" w:rsidRDefault="0047624E">
      <w:pPr>
        <w:pStyle w:val="zparawtab-f"/>
        <w:jc w:val="left"/>
      </w:pPr>
      <w:r>
        <w:tab/>
      </w:r>
      <w:r>
        <w:tab/>
        <w:t>LA MESURE DE REDRESSEMENT DEMANDÉE, après résolution des questions énoncées, est la suivante :</w:t>
      </w:r>
    </w:p>
    <w:p w14:paraId="5F1D0360" w14:textId="77777777" w:rsidR="00000000" w:rsidRDefault="0047624E">
      <w:pPr>
        <w:pStyle w:val="zparawtab-f"/>
        <w:jc w:val="left"/>
        <w:rPr>
          <w:i/>
        </w:rPr>
      </w:pPr>
      <w:r>
        <w:t>1.</w:t>
      </w:r>
      <w:r>
        <w:tab/>
      </w:r>
      <w:r>
        <w:tab/>
      </w:r>
      <w:r>
        <w:rPr>
          <w:i/>
        </w:rPr>
        <w:t>(Indiquer la mesure de redressement demandée sur laquelle les parties s’entendent r</w:t>
      </w:r>
      <w:r>
        <w:rPr>
          <w:i/>
        </w:rPr>
        <w:t>elativement à chaque réponse possible à chacune des que</w:t>
      </w:r>
      <w:r>
        <w:rPr>
          <w:i/>
        </w:rPr>
        <w:t>s</w:t>
      </w:r>
      <w:r>
        <w:rPr>
          <w:i/>
        </w:rPr>
        <w:t>tions posées, dans une forme qui peut être facilement intégrée à l’ordonnance.)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22"/>
        <w:gridCol w:w="4922"/>
      </w:tblGrid>
      <w:tr w:rsidR="00000000" w14:paraId="54C840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2" w:type="dxa"/>
          </w:tcPr>
          <w:p w14:paraId="771771C2" w14:textId="77777777" w:rsidR="00000000" w:rsidRDefault="0047624E">
            <w:pPr>
              <w:pStyle w:val="table-f"/>
              <w:rPr>
                <w:i/>
                <w:iCs/>
                <w:sz w:val="17"/>
              </w:rPr>
            </w:pPr>
            <w:r>
              <w:rPr>
                <w:i/>
                <w:iCs/>
              </w:rPr>
              <w:t>(</w:t>
            </w:r>
            <w:proofErr w:type="gramStart"/>
            <w:r>
              <w:rPr>
                <w:i/>
                <w:iCs/>
              </w:rPr>
              <w:t>date</w:t>
            </w:r>
            <w:proofErr w:type="gramEnd"/>
            <w:r>
              <w:rPr>
                <w:i/>
                <w:iCs/>
              </w:rPr>
              <w:t>)</w:t>
            </w:r>
          </w:p>
        </w:tc>
        <w:tc>
          <w:tcPr>
            <w:tcW w:w="4922" w:type="dxa"/>
          </w:tcPr>
          <w:p w14:paraId="5974114B" w14:textId="77777777" w:rsidR="00000000" w:rsidRDefault="0047624E">
            <w:pPr>
              <w:pStyle w:val="table-f"/>
              <w:jc w:val="center"/>
            </w:pPr>
            <w:r>
              <w:rPr>
                <w:i/>
                <w:sz w:val="17"/>
              </w:rPr>
              <w:t>(</w:t>
            </w:r>
            <w:proofErr w:type="gramStart"/>
            <w:r>
              <w:rPr>
                <w:i/>
                <w:sz w:val="17"/>
              </w:rPr>
              <w:t>signature</w:t>
            </w:r>
            <w:proofErr w:type="gramEnd"/>
            <w:r>
              <w:rPr>
                <w:i/>
                <w:sz w:val="17"/>
              </w:rPr>
              <w:t xml:space="preserve"> des avocats ou des parties à l’instance)</w:t>
            </w:r>
          </w:p>
        </w:tc>
      </w:tr>
      <w:tr w:rsidR="00000000" w14:paraId="084BF7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2" w:type="dxa"/>
          </w:tcPr>
          <w:p w14:paraId="216A575B" w14:textId="77777777" w:rsidR="00000000" w:rsidRDefault="0047624E">
            <w:pPr>
              <w:pStyle w:val="table-f"/>
              <w:spacing w:before="120"/>
            </w:pPr>
          </w:p>
        </w:tc>
        <w:tc>
          <w:tcPr>
            <w:tcW w:w="4922" w:type="dxa"/>
          </w:tcPr>
          <w:p w14:paraId="07A60CF6" w14:textId="77777777" w:rsidR="00000000" w:rsidRDefault="0047624E">
            <w:pPr>
              <w:pStyle w:val="microcaption"/>
              <w:spacing w:before="120" w:after="0" w:line="189" w:lineRule="atLeast"/>
              <w:jc w:val="center"/>
              <w:rPr>
                <w:i/>
                <w:sz w:val="17"/>
                <w:lang w:val="fr-CA"/>
              </w:rPr>
            </w:pPr>
            <w:r>
              <w:rPr>
                <w:i/>
                <w:sz w:val="17"/>
                <w:lang w:val="fr-CA"/>
              </w:rPr>
              <w:t>(</w:t>
            </w:r>
            <w:proofErr w:type="gramStart"/>
            <w:r>
              <w:rPr>
                <w:i/>
                <w:sz w:val="17"/>
                <w:lang w:val="fr-CA"/>
              </w:rPr>
              <w:t>nom</w:t>
            </w:r>
            <w:proofErr w:type="gramEnd"/>
            <w:r>
              <w:rPr>
                <w:i/>
                <w:sz w:val="17"/>
                <w:lang w:val="fr-CA"/>
              </w:rPr>
              <w:t>, adresse et numéro de téléphone des avocats</w:t>
            </w:r>
            <w:r>
              <w:rPr>
                <w:i/>
                <w:sz w:val="17"/>
                <w:lang w:val="fr-CA"/>
              </w:rPr>
              <w:br/>
              <w:t xml:space="preserve"> ou des pa</w:t>
            </w:r>
            <w:r>
              <w:rPr>
                <w:i/>
                <w:sz w:val="17"/>
                <w:lang w:val="fr-CA"/>
              </w:rPr>
              <w:t>rties à l’instance)</w:t>
            </w:r>
          </w:p>
        </w:tc>
      </w:tr>
    </w:tbl>
    <w:p w14:paraId="6553BA6C" w14:textId="77777777" w:rsidR="00000000" w:rsidRDefault="0047624E">
      <w:pPr>
        <w:pStyle w:val="footnote-f"/>
      </w:pPr>
      <w:r>
        <w:t>RCP-F 22A (1</w:t>
      </w:r>
      <w:r>
        <w:rPr>
          <w:vertAlign w:val="superscript"/>
        </w:rPr>
        <w:t>er</w:t>
      </w:r>
      <w:r>
        <w:t xml:space="preserve"> juillet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FE7EB" w14:textId="77777777" w:rsidR="0047624E" w:rsidRDefault="0047624E" w:rsidP="0047624E">
      <w:r>
        <w:separator/>
      </w:r>
    </w:p>
  </w:endnote>
  <w:endnote w:type="continuationSeparator" w:id="0">
    <w:p w14:paraId="23800549" w14:textId="77777777" w:rsidR="0047624E" w:rsidRDefault="0047624E" w:rsidP="0047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31945" w14:textId="77777777" w:rsidR="0047624E" w:rsidRDefault="0047624E" w:rsidP="0047624E">
      <w:r>
        <w:separator/>
      </w:r>
    </w:p>
  </w:footnote>
  <w:footnote w:type="continuationSeparator" w:id="0">
    <w:p w14:paraId="7805324F" w14:textId="77777777" w:rsidR="0047624E" w:rsidRDefault="0047624E" w:rsidP="00476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624E"/>
    <w:rsid w:val="0047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908798"/>
  <w15:chartTrackingRefBased/>
  <w15:docId w15:val="{A24EE682-363B-4453-976A-7C45AAF1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microcaption">
    <w:name w:val="micro:caption"/>
    <w:pPr>
      <w:tabs>
        <w:tab w:val="left" w:pos="0"/>
        <w:tab w:val="left" w:pos="720"/>
        <w:tab w:val="left" w:pos="1440"/>
        <w:tab w:val="left" w:pos="2160"/>
      </w:tabs>
      <w:spacing w:after="43" w:line="222" w:lineRule="atLeast"/>
    </w:pPr>
    <w:rPr>
      <w:rFonts w:ascii="Times" w:hAnsi="Times"/>
      <w:snapToGrid w:val="0"/>
      <w:lang w:eastAsia="en-US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22A Exposé de cause</vt:lpstr>
    </vt:vector>
  </TitlesOfParts>
  <Company>Gouvernement de l’Ontario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22A Exposé de cause</dc:title>
  <dc:subject>RCP-F 22A (1er juillet 2007)</dc:subject>
  <dc:creator>Comité des règles en matière civile</dc:creator>
  <cp:keywords/>
  <dc:description/>
  <cp:lastModifiedBy>Schell, Denise (MAG)</cp:lastModifiedBy>
  <cp:revision>2</cp:revision>
  <dcterms:created xsi:type="dcterms:W3CDTF">2021-11-22T15:51:00Z</dcterms:created>
  <dcterms:modified xsi:type="dcterms:W3CDTF">2021-11-22T15:51:00Z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2021-11-22T15:51:27Z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6f817626-8a9c-452a-b5c9-2ef7207edc32</vt:lpwstr>
  </property>
  <property fmtid="{D5CDD505-2E9C-101B-9397-08002B2CF9AE}" pid="8" name="MSIP_Label_034a106e-6316-442c-ad35-738afd673d2b_ContentBits">
    <vt:lpwstr>0</vt:lpwstr>
  </property>
</Properties>
</file>