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69DA2" w14:textId="77777777" w:rsidR="00AC29FB" w:rsidRDefault="00C46485">
      <w:pPr>
        <w:pStyle w:val="form-f"/>
      </w:pPr>
      <w:r>
        <w:t>Formule 11A</w:t>
      </w:r>
    </w:p>
    <w:p w14:paraId="704A3920" w14:textId="77777777" w:rsidR="00AC29FB" w:rsidRDefault="00C46485">
      <w:pPr>
        <w:pStyle w:val="act-f"/>
      </w:pPr>
      <w:r>
        <w:t>Loi sur les tribunaux judiciaires</w:t>
      </w:r>
    </w:p>
    <w:p w14:paraId="6A7E7031" w14:textId="77777777" w:rsidR="00AC29FB" w:rsidRDefault="00C46485">
      <w:pPr>
        <w:pStyle w:val="subject-f"/>
      </w:pPr>
      <w:r>
        <w:t>ordonnance de continuation</w:t>
      </w:r>
      <w:r>
        <w:br/>
        <w:t>(transfert ou transmission d’intérêt)</w:t>
      </w:r>
    </w:p>
    <w:p w14:paraId="0FA2F37A" w14:textId="77777777" w:rsidR="00AC29FB" w:rsidRDefault="00C46485">
      <w:pPr>
        <w:pStyle w:val="zc-i-ul-f"/>
        <w:spacing w:before="240"/>
      </w:pPr>
      <w:r>
        <w:t>(titre)</w:t>
      </w:r>
    </w:p>
    <w:p w14:paraId="79634378" w14:textId="1C9E66C6" w:rsidR="00AC29FB" w:rsidRPr="00A77A3C" w:rsidRDefault="00A77A3C">
      <w:pPr>
        <w:pStyle w:val="zcourt-f"/>
        <w:rPr>
          <w:i w:val="0"/>
          <w:iCs/>
        </w:rPr>
      </w:pPr>
      <w:r w:rsidRPr="00A77A3C">
        <w:rPr>
          <w:i w:val="0"/>
          <w:iCs/>
        </w:rPr>
        <w:t>[SCEAU]</w:t>
      </w:r>
    </w:p>
    <w:p w14:paraId="70203C9D" w14:textId="77777777" w:rsidR="00AC29FB" w:rsidRDefault="00C46485">
      <w:pPr>
        <w:pStyle w:val="zheadingx-f"/>
      </w:pPr>
      <w:r>
        <w:t>ordonnance de continuation</w:t>
      </w:r>
    </w:p>
    <w:p w14:paraId="1FC25424" w14:textId="77777777" w:rsidR="00AC29FB" w:rsidRDefault="00C46485">
      <w:pPr>
        <w:pStyle w:val="zparawtab-f"/>
      </w:pPr>
      <w:r>
        <w:tab/>
      </w:r>
      <w:r>
        <w:tab/>
        <w:t xml:space="preserve">À la suite de la réquisition de </w:t>
      </w:r>
      <w:r>
        <w:rPr>
          <w:i/>
        </w:rPr>
        <w:t>(désigner la partie ou la</w:t>
      </w:r>
      <w:r>
        <w:t xml:space="preserve"> </w:t>
      </w:r>
      <w:r>
        <w:rPr>
          <w:i/>
        </w:rPr>
        <w:t>personne)</w:t>
      </w:r>
      <w:r>
        <w:t xml:space="preserve"> et après avoir lu l’affidavit de </w:t>
      </w:r>
      <w:r>
        <w:rPr>
          <w:i/>
        </w:rPr>
        <w:t>(nom)</w:t>
      </w:r>
      <w:r>
        <w:t xml:space="preserve">, qui a été déposé et qui atteste que le </w:t>
      </w:r>
      <w:r>
        <w:rPr>
          <w:i/>
        </w:rPr>
        <w:t>(date)</w:t>
      </w:r>
      <w:r>
        <w:t xml:space="preserve">, </w:t>
      </w:r>
      <w:r>
        <w:rPr>
          <w:i/>
        </w:rPr>
        <w:t>(préciser le transfert, la transmission d’intérêt ou la responsabilité)</w:t>
      </w:r>
      <w:r>
        <w:t>,</w:t>
      </w:r>
    </w:p>
    <w:p w14:paraId="7D229B5A" w14:textId="77777777" w:rsidR="00AC29FB" w:rsidRDefault="00C46485">
      <w:pPr>
        <w:pStyle w:val="zparawtab-f"/>
      </w:pPr>
      <w:r>
        <w:tab/>
      </w:r>
      <w:r>
        <w:tab/>
        <w:t xml:space="preserve">IL EST ORDONNÉ que la présente instance soit continuée et que, dans tous les documents délivrés, signifiés ou déposés après la date de la présente ordonnance, l’intitulé de l’instance se lise comme suit : </w:t>
      </w:r>
      <w:r>
        <w:rPr>
          <w:i/>
        </w:rPr>
        <w:t>(indiquer le nouvel intitulé de l’instance en supprimant le nom de la partie dont l’intérêt est transféré ou transmis et en ajoutant le nom de la nouvelle partie)</w:t>
      </w:r>
      <w:r>
        <w:t>.</w:t>
      </w:r>
    </w:p>
    <w:p w14:paraId="33AEC754" w14:textId="77777777" w:rsidR="00AC29FB" w:rsidRPr="00A77A3C" w:rsidRDefault="00C46485">
      <w:pPr>
        <w:pStyle w:val="table-e"/>
        <w:tabs>
          <w:tab w:val="left" w:pos="5040"/>
        </w:tabs>
        <w:spacing w:before="240"/>
        <w:rPr>
          <w:lang w:val="fr-CA"/>
        </w:rPr>
      </w:pPr>
      <w:proofErr w:type="gramStart"/>
      <w:r w:rsidRPr="00A77A3C">
        <w:rPr>
          <w:lang w:val="fr-CA"/>
        </w:rPr>
        <w:t>date</w:t>
      </w:r>
      <w:proofErr w:type="gramEnd"/>
      <w:r w:rsidRPr="00A77A3C">
        <w:rPr>
          <w:lang w:val="fr-CA"/>
        </w:rPr>
        <w:t xml:space="preserve"> ...........................................................................</w:t>
      </w:r>
      <w:r w:rsidRPr="00A77A3C">
        <w:rPr>
          <w:lang w:val="fr-CA"/>
        </w:rPr>
        <w:tab/>
      </w:r>
      <w:proofErr w:type="gramStart"/>
      <w:r>
        <w:rPr>
          <w:lang w:val="fr-CA"/>
        </w:rPr>
        <w:t>délivrée</w:t>
      </w:r>
      <w:proofErr w:type="gramEnd"/>
      <w:r w:rsidRPr="00A77A3C">
        <w:rPr>
          <w:lang w:val="fr-CA"/>
        </w:rPr>
        <w:t xml:space="preserve"> par ......................................................................</w:t>
      </w:r>
    </w:p>
    <w:p w14:paraId="5321B044" w14:textId="77777777" w:rsidR="00AC29FB" w:rsidRPr="00A77A3C" w:rsidRDefault="00C46485">
      <w:pPr>
        <w:pStyle w:val="table-e"/>
        <w:tabs>
          <w:tab w:val="left" w:pos="6840"/>
        </w:tabs>
        <w:rPr>
          <w:lang w:val="fr-CA"/>
        </w:rPr>
      </w:pPr>
      <w:r w:rsidRPr="00A77A3C">
        <w:rPr>
          <w:lang w:val="fr-CA"/>
        </w:rPr>
        <w:tab/>
      </w:r>
      <w:proofErr w:type="gramStart"/>
      <w:r>
        <w:rPr>
          <w:lang w:val="fr-CA"/>
        </w:rPr>
        <w:t>greffier</w:t>
      </w:r>
      <w:proofErr w:type="gramEnd"/>
      <w:r w:rsidRPr="00A77A3C">
        <w:rPr>
          <w:lang w:val="fr-CA"/>
        </w:rPr>
        <w:t xml:space="preserve"> local</w:t>
      </w:r>
    </w:p>
    <w:p w14:paraId="4E73F6DF" w14:textId="77777777" w:rsidR="00AC29FB" w:rsidRPr="00A77A3C" w:rsidRDefault="00C46485">
      <w:pPr>
        <w:pStyle w:val="table-e"/>
        <w:tabs>
          <w:tab w:val="left" w:pos="5040"/>
        </w:tabs>
        <w:rPr>
          <w:lang w:val="fr-CA"/>
        </w:rPr>
      </w:pPr>
      <w:r w:rsidRPr="00A77A3C">
        <w:rPr>
          <w:lang w:val="fr-CA"/>
        </w:rPr>
        <w:tab/>
      </w:r>
      <w:proofErr w:type="gramStart"/>
      <w:r>
        <w:rPr>
          <w:lang w:val="fr-CA"/>
        </w:rPr>
        <w:t>adresse</w:t>
      </w:r>
      <w:proofErr w:type="gramEnd"/>
      <w:r>
        <w:rPr>
          <w:lang w:val="fr-CA"/>
        </w:rPr>
        <w:t xml:space="preserve"> du</w:t>
      </w:r>
    </w:p>
    <w:p w14:paraId="51D29E81" w14:textId="77777777" w:rsidR="00AC29FB" w:rsidRPr="00A77A3C" w:rsidRDefault="00C46485">
      <w:pPr>
        <w:pStyle w:val="table-e"/>
        <w:tabs>
          <w:tab w:val="left" w:pos="5040"/>
        </w:tabs>
        <w:rPr>
          <w:lang w:val="fr-CA"/>
        </w:rPr>
      </w:pPr>
      <w:r w:rsidRPr="00A77A3C">
        <w:rPr>
          <w:lang w:val="fr-CA"/>
        </w:rPr>
        <w:tab/>
      </w:r>
      <w:proofErr w:type="gramStart"/>
      <w:r>
        <w:rPr>
          <w:lang w:val="fr-CA"/>
        </w:rPr>
        <w:t>greffe</w:t>
      </w:r>
      <w:proofErr w:type="gramEnd"/>
      <w:r>
        <w:rPr>
          <w:lang w:val="fr-CA"/>
        </w:rPr>
        <w:t xml:space="preserve">      </w:t>
      </w:r>
      <w:r w:rsidRPr="00A77A3C">
        <w:rPr>
          <w:lang w:val="fr-CA"/>
        </w:rPr>
        <w:t>...........................................................................</w:t>
      </w:r>
    </w:p>
    <w:p w14:paraId="18179E5F" w14:textId="77777777" w:rsidR="00AC29FB" w:rsidRDefault="00AC29FB">
      <w:pPr>
        <w:pStyle w:val="table-e"/>
        <w:rPr>
          <w:lang w:val="fr-CA"/>
        </w:rPr>
      </w:pPr>
    </w:p>
    <w:p w14:paraId="5D235E61" w14:textId="77777777" w:rsidR="00AC29FB" w:rsidRPr="00A77A3C" w:rsidRDefault="00C46485">
      <w:pPr>
        <w:pStyle w:val="table-e"/>
        <w:tabs>
          <w:tab w:val="left" w:pos="5913"/>
        </w:tabs>
        <w:rPr>
          <w:lang w:val="fr-CA"/>
        </w:rPr>
      </w:pPr>
      <w:r w:rsidRPr="00A77A3C">
        <w:rPr>
          <w:lang w:val="fr-CA"/>
        </w:rPr>
        <w:tab/>
        <w:t>.......................................................................</w:t>
      </w:r>
    </w:p>
    <w:p w14:paraId="30E88E19" w14:textId="77777777" w:rsidR="00AC29FB" w:rsidRDefault="00C46485">
      <w:pPr>
        <w:pStyle w:val="zparanoindt-f"/>
        <w:spacing w:before="240"/>
      </w:pPr>
      <w:r>
        <w:t>La partie qui désire faire annuler ou modifier la présente ordonnance doit, par voie de motion, demander une telle mesure immédiatement après avoir pris connaissance de l’ordonnance.</w:t>
      </w:r>
    </w:p>
    <w:p w14:paraId="64A02D45" w14:textId="77777777" w:rsidR="00AC29FB" w:rsidRDefault="00C46485">
      <w:pPr>
        <w:pStyle w:val="zparanoindt-f"/>
      </w:pPr>
      <w:r>
        <w:t xml:space="preserve">Si la transmission de l’intérêt découle d’une faillite, l’autorisation du tribunal de faillite peut être nécessaire aux termes de l’article 69.4 de la </w:t>
      </w:r>
      <w:r>
        <w:rPr>
          <w:rStyle w:val="ovitalic"/>
        </w:rPr>
        <w:t xml:space="preserve">Loi sur la faillite et l’insolvabilité </w:t>
      </w:r>
      <w:r>
        <w:t>(Canada) avant que l’instance continue.</w:t>
      </w:r>
    </w:p>
    <w:p w14:paraId="6FF5A840" w14:textId="77777777" w:rsidR="00AC29FB" w:rsidRDefault="00C46485">
      <w:pPr>
        <w:pStyle w:val="footnote-f"/>
      </w:pPr>
      <w:r>
        <w:t>RCP-F 11A (1</w:t>
      </w:r>
      <w:r>
        <w:rPr>
          <w:vertAlign w:val="superscript"/>
        </w:rPr>
        <w:t>er</w:t>
      </w:r>
      <w:r>
        <w:t xml:space="preserve"> novembre 2005)</w:t>
      </w:r>
    </w:p>
    <w:sectPr w:rsidR="00AC29FB">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9C9BD" w14:textId="77777777" w:rsidR="00C46485" w:rsidRDefault="00C46485" w:rsidP="00C46485">
      <w:r>
        <w:separator/>
      </w:r>
    </w:p>
  </w:endnote>
  <w:endnote w:type="continuationSeparator" w:id="0">
    <w:p w14:paraId="2BCEF989" w14:textId="77777777" w:rsidR="00C46485" w:rsidRDefault="00C46485" w:rsidP="00C4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5EA33" w14:textId="77777777" w:rsidR="00C46485" w:rsidRDefault="00C46485" w:rsidP="00C46485">
      <w:r>
        <w:separator/>
      </w:r>
    </w:p>
  </w:footnote>
  <w:footnote w:type="continuationSeparator" w:id="0">
    <w:p w14:paraId="5E8E95BD" w14:textId="77777777" w:rsidR="00C46485" w:rsidRDefault="00C46485" w:rsidP="00C46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6485"/>
    <w:rsid w:val="00A77A3C"/>
    <w:rsid w:val="00AC29FB"/>
    <w:rsid w:val="00C464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BA1D2"/>
  <w15:chartTrackingRefBased/>
  <w15:docId w15:val="{53ED4B9C-9537-4F6C-82AB-173F615D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f">
    <w:name w:val="act-f"/>
    <w:basedOn w:val="Normal"/>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pPr>
      <w:tabs>
        <w:tab w:val="left" w:pos="0"/>
      </w:tabs>
      <w:spacing w:before="111" w:line="209" w:lineRule="exact"/>
      <w:jc w:val="right"/>
    </w:pPr>
    <w:rPr>
      <w:snapToGrid w:val="0"/>
      <w:sz w:val="20"/>
      <w:szCs w:val="20"/>
      <w:lang w:val="fr-CA"/>
    </w:rPr>
  </w:style>
  <w:style w:type="paragraph" w:customStyle="1" w:styleId="form-f">
    <w:name w:val="form-f"/>
    <w:basedOn w:val="Normal"/>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pPr>
      <w:keepNext/>
      <w:tabs>
        <w:tab w:val="left" w:pos="0"/>
      </w:tabs>
      <w:suppressAutoHyphens/>
      <w:spacing w:before="140" w:line="190" w:lineRule="exact"/>
      <w:jc w:val="center"/>
    </w:pPr>
    <w:rPr>
      <w:caps/>
      <w:snapToGrid w:val="0"/>
      <w:sz w:val="20"/>
      <w:szCs w:val="20"/>
      <w:lang w:val="fr-CA"/>
    </w:rPr>
  </w:style>
  <w:style w:type="paragraph" w:customStyle="1" w:styleId="table-f">
    <w:name w:val="table-f"/>
    <w:basedOn w:val="Normal"/>
    <w:pPr>
      <w:suppressAutoHyphens/>
      <w:spacing w:before="11" w:line="189" w:lineRule="exact"/>
    </w:pPr>
    <w:rPr>
      <w:snapToGrid w:val="0"/>
      <w:sz w:val="18"/>
      <w:szCs w:val="20"/>
      <w:lang w:val="fr-CA"/>
    </w:rPr>
  </w:style>
  <w:style w:type="paragraph" w:customStyle="1" w:styleId="zc-i-ul-f">
    <w:name w:val="zc-i-u/l-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fr-CA" w:eastAsia="en-US"/>
    </w:rPr>
  </w:style>
  <w:style w:type="paragraph" w:customStyle="1" w:styleId="zcourt-f">
    <w:name w:val="zcourt-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val="fr-CA" w:eastAsia="en-US"/>
    </w:rPr>
  </w:style>
  <w:style w:type="paragraph" w:customStyle="1" w:styleId="zheadingx-f">
    <w:name w:val="zheadingx-f"/>
    <w:pPr>
      <w:tabs>
        <w:tab w:val="left" w:pos="0"/>
      </w:tabs>
      <w:spacing w:after="139" w:line="191" w:lineRule="exact"/>
      <w:jc w:val="center"/>
    </w:pPr>
    <w:rPr>
      <w:rFonts w:ascii="Times" w:hAnsi="Times"/>
      <w:caps/>
      <w:snapToGrid w:val="0"/>
      <w:sz w:val="17"/>
      <w:lang w:val="fr-CA" w:eastAsia="en-US"/>
    </w:rPr>
  </w:style>
  <w:style w:type="paragraph" w:customStyle="1" w:styleId="zparanoindt-f">
    <w:name w:val="zparanoindt-f"/>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pPr>
      <w:tabs>
        <w:tab w:val="right" w:pos="239"/>
        <w:tab w:val="left" w:pos="279"/>
      </w:tabs>
      <w:spacing w:after="139" w:line="190" w:lineRule="exact"/>
      <w:jc w:val="both"/>
    </w:pPr>
    <w:rPr>
      <w:rFonts w:ascii="Times" w:hAnsi="Times"/>
      <w:snapToGrid w:val="0"/>
      <w:sz w:val="17"/>
      <w:lang w:val="fr-CA" w:eastAsia="en-US"/>
    </w:rPr>
  </w:style>
  <w:style w:type="character" w:customStyle="1" w:styleId="ovitalic">
    <w:name w:val="ovitalic"/>
    <w:basedOn w:val="DefaultParagraphFont"/>
    <w:rPr>
      <w:i/>
    </w:rPr>
  </w:style>
  <w:style w:type="paragraph" w:customStyle="1" w:styleId="table-e">
    <w:name w:val="table-e"/>
    <w:pPr>
      <w:suppressAutoHyphens/>
      <w:spacing w:before="11" w:line="189" w:lineRule="exact"/>
    </w:pPr>
    <w:rPr>
      <w:snapToGrid w:val="0"/>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Formule 11A Ordonnance de continuation (Transfert ou transmission d’intérêt)</vt:lpstr>
    </vt:vector>
  </TitlesOfParts>
  <Company>Gouvernement de l’Ontario</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11A Ordonnance de continuation (Transfert ou transmission d’intérêt)</dc:title>
  <dc:subject>RCP-F 11A (1er novembre 2005)</dc:subject>
  <dc:creator>Comité des règles en matière civile</dc:creator>
  <cp:keywords/>
  <dc:description/>
  <cp:lastModifiedBy>Schell, Denise (MAG)</cp:lastModifiedBy>
  <cp:revision>3</cp:revision>
  <dcterms:created xsi:type="dcterms:W3CDTF">2021-11-22T15:37:00Z</dcterms:created>
  <dcterms:modified xsi:type="dcterms:W3CDTF">2022-02-08T15:53:00Z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2021-11-22T15:37:02Z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f6a61ab5-341d-4f1b-a963-4097bc1db30a</vt:lpwstr>
  </property>
  <property fmtid="{D5CDD505-2E9C-101B-9397-08002B2CF9AE}" pid="8" name="MSIP_Label_034a106e-6316-442c-ad35-738afd673d2b_ContentBits">
    <vt:lpwstr>0</vt:lpwstr>
  </property>
</Properties>
</file>